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A38E" w14:textId="209E5D73" w:rsidR="00A74753" w:rsidRPr="003113CD" w:rsidRDefault="00A74753">
      <w:pPr>
        <w:rPr>
          <w:rFonts w:ascii="Source Sans Pro" w:hAnsi="Source Sans Pro"/>
        </w:rPr>
      </w:pPr>
    </w:p>
    <w:p w14:paraId="559EFC25" w14:textId="4881D5E4" w:rsidR="00D819B4" w:rsidRDefault="00D819B4" w:rsidP="00D819B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ource Sans Pro" w:hAnsi="Source Sans Pro"/>
          <w:b/>
          <w:bCs/>
          <w:color w:val="1D1D1D"/>
          <w:sz w:val="27"/>
          <w:szCs w:val="27"/>
        </w:rPr>
      </w:pPr>
      <w:r>
        <w:rPr>
          <w:rStyle w:val="normaltextrun"/>
          <w:rFonts w:ascii="Source Sans Pro" w:hAnsi="Source Sans Pro"/>
          <w:b/>
          <w:bCs/>
          <w:color w:val="1D1D1D"/>
          <w:sz w:val="27"/>
          <w:szCs w:val="27"/>
        </w:rPr>
        <w:t>National Aboriginal and Torres Strait Islander Eye Health Conference 2023: Abstract preparation support</w:t>
      </w:r>
    </w:p>
    <w:p w14:paraId="5DE34A36" w14:textId="73A2CF1C" w:rsidR="00D819B4" w:rsidRDefault="00D819B4" w:rsidP="00D819B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ource Sans Pro" w:hAnsi="Source Sans Pro"/>
          <w:b/>
          <w:bCs/>
          <w:color w:val="1D1D1D"/>
          <w:sz w:val="27"/>
          <w:szCs w:val="27"/>
        </w:rPr>
      </w:pPr>
    </w:p>
    <w:p w14:paraId="40D61490" w14:textId="40E4D10A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  <w:lang w:val="en-US"/>
        </w:rPr>
        <w:t>What should the abstract contain?</w:t>
      </w:r>
    </w:p>
    <w:p w14:paraId="25344AAB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FDF9E98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>An abstract is a short (up to 200 words) text which describes the topic and content of a suggested presentation. We are not requiring abstracts to fit a specific format, but in general, we suggest that it is written in a way that is accessible for the wide variety of stakeholders that will attend the Conference.</w:t>
      </w:r>
      <w:r>
        <w:rPr>
          <w:rStyle w:val="eop"/>
          <w:rFonts w:ascii="Source Sans Pro" w:hAnsi="Source Sans Pro" w:cs="Segoe UI"/>
          <w:sz w:val="21"/>
          <w:szCs w:val="21"/>
        </w:rPr>
        <w:t> </w:t>
      </w:r>
    </w:p>
    <w:p w14:paraId="70D41597" w14:textId="6AEED891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 xml:space="preserve">Common elements that may be included in the abstract </w:t>
      </w:r>
      <w:proofErr w:type="gramStart"/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>are:</w:t>
      </w:r>
      <w:proofErr w:type="gramEnd"/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 xml:space="preserve"> short background/ context; reason for presenting; outlining a problem or challenge; mentioning any methods that may have been used to collect information to inform this suggested presentation; and, if relevant, outcomes.</w:t>
      </w:r>
    </w:p>
    <w:p w14:paraId="67F72756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4D431C" w14:textId="3DE5A19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  <w:lang w:val="en-US"/>
        </w:rPr>
        <w:t>What type of presentations can I submit an abstract for?</w:t>
      </w:r>
    </w:p>
    <w:p w14:paraId="2D74FAD8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144963" w14:textId="7C01C93D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>You may submit an abstract for any of the five presentation methods and session types:</w:t>
      </w:r>
      <w:r>
        <w:rPr>
          <w:rStyle w:val="normaltextrun"/>
          <w:rFonts w:ascii="Source Sans Pro" w:hAnsi="Source Sans Pro" w:cs="Segoe UI"/>
          <w:sz w:val="21"/>
          <w:szCs w:val="21"/>
        </w:rPr>
        <w:t xml:space="preserve"> </w:t>
      </w:r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>Oral presentation (with or without slides); tabletop presentations (short presentations repeated to small, rotating groups of delegates); workshop (longer sessions that should include a teaching and interactive element); Quick Yarn (short yarning presentation spots for First Nations presenters) and poster presentations.</w:t>
      </w:r>
    </w:p>
    <w:p w14:paraId="6B922CA8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5027FE" w14:textId="6B9A0922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  <w:lang w:val="en-US"/>
        </w:rPr>
        <w:t>Are there any further resources available?</w:t>
      </w:r>
    </w:p>
    <w:p w14:paraId="0F5D5A7C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1B0A9F" w14:textId="055E00CB" w:rsidR="00D819B4" w:rsidRDefault="00D819B4" w:rsidP="00D819B4">
      <w:pPr>
        <w:pStyle w:val="paragraph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851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 xml:space="preserve">The University of Melbourne has a helpful and detailed resource that can further help you write your abstract: </w:t>
      </w:r>
      <w:hyperlink r:id="rId7" w:tgtFrame="_blank" w:history="1">
        <w:r>
          <w:rPr>
            <w:rStyle w:val="normaltextrun"/>
            <w:rFonts w:ascii="Source Sans Pro" w:hAnsi="Source Sans Pro" w:cs="Segoe UI"/>
            <w:color w:val="0000FF"/>
            <w:sz w:val="21"/>
            <w:szCs w:val="21"/>
            <w:u w:val="single"/>
            <w:lang w:val="en-US"/>
          </w:rPr>
          <w:t>https://students.unimelb.edu.au/academic-skills/explore-our-resources/research-techniques/writing-an-abstract</w:t>
        </w:r>
      </w:hyperlink>
    </w:p>
    <w:p w14:paraId="09735D51" w14:textId="1366C51A" w:rsidR="00D819B4" w:rsidRDefault="00D819B4" w:rsidP="00D819B4">
      <w:pPr>
        <w:pStyle w:val="paragraph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851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 xml:space="preserve">A shorter info-sheet is available here: </w:t>
      </w:r>
      <w:hyperlink r:id="rId8" w:tgtFrame="_blank" w:history="1">
        <w:r>
          <w:rPr>
            <w:rStyle w:val="normaltextrun"/>
            <w:rFonts w:ascii="Source Sans Pro" w:hAnsi="Source Sans Pro" w:cs="Segoe UI"/>
            <w:color w:val="0000FF"/>
            <w:sz w:val="21"/>
            <w:szCs w:val="21"/>
            <w:u w:val="single"/>
            <w:lang w:val="en-US"/>
          </w:rPr>
          <w:t>https://services.unimelb.edu.au/__data/assets/pdf_file/0007/471274/Writing_an_Abstract_Update_051112.pdf</w:t>
        </w:r>
      </w:hyperlink>
    </w:p>
    <w:p w14:paraId="29CFA0F4" w14:textId="68A43CF3" w:rsidR="00D819B4" w:rsidRPr="00D819B4" w:rsidRDefault="00D819B4" w:rsidP="00D819B4">
      <w:pPr>
        <w:pStyle w:val="paragraph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851" w:hanging="425"/>
        <w:textAlignment w:val="baseline"/>
        <w:rPr>
          <w:rStyle w:val="normaltextrun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 xml:space="preserve">IEHU staff are also here to support you. Please email </w:t>
      </w:r>
      <w:hyperlink r:id="rId9" w:tgtFrame="_blank" w:history="1">
        <w:r>
          <w:rPr>
            <w:rStyle w:val="normaltextrun"/>
            <w:rFonts w:ascii="Source Sans Pro" w:hAnsi="Source Sans Pro" w:cs="Segoe UI"/>
            <w:color w:val="0000FF"/>
            <w:sz w:val="21"/>
            <w:szCs w:val="21"/>
            <w:u w:val="single"/>
            <w:lang w:val="en-US"/>
          </w:rPr>
          <w:t>guy.gillor@unimelb.edu.au</w:t>
        </w:r>
      </w:hyperlink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 xml:space="preserve"> for any questions and assistance with your abstract. We are happy to help!</w:t>
      </w:r>
    </w:p>
    <w:p w14:paraId="7FC3338E" w14:textId="77777777" w:rsidR="00D819B4" w:rsidRDefault="00D819B4" w:rsidP="00D819B4">
      <w:pPr>
        <w:pStyle w:val="paragraph"/>
        <w:spacing w:before="0" w:beforeAutospacing="0" w:after="0" w:afterAutospacing="0"/>
        <w:ind w:left="851"/>
        <w:textAlignment w:val="baseline"/>
        <w:rPr>
          <w:rFonts w:ascii="Source Sans Pro" w:hAnsi="Source Sans Pro" w:cs="Segoe UI"/>
          <w:sz w:val="21"/>
          <w:szCs w:val="21"/>
        </w:rPr>
      </w:pPr>
    </w:p>
    <w:p w14:paraId="1D5E70C8" w14:textId="0B920B38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  <w:lang w:val="en-US"/>
        </w:rPr>
        <w:t>What is this year’s Conference theme?</w:t>
      </w:r>
    </w:p>
    <w:p w14:paraId="7CC51D56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C4EAA28" w14:textId="3A557A4F" w:rsidR="00D819B4" w:rsidRP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color w:val="202020"/>
          <w:sz w:val="21"/>
          <w:szCs w:val="21"/>
        </w:rPr>
      </w:pPr>
      <w:r>
        <w:rPr>
          <w:rStyle w:val="normaltextrun"/>
          <w:rFonts w:ascii="Source Sans Pro" w:hAnsi="Source Sans Pro" w:cs="Segoe UI"/>
          <w:sz w:val="21"/>
          <w:szCs w:val="21"/>
          <w:lang w:val="en-US"/>
        </w:rPr>
        <w:t xml:space="preserve">This year’s theme is Our Vision in Our Hands: Finding Our Voice. This theme allows for a wide variety of presentations relating to efforts and approaches to end avoidable vision loss and blindness for Aboriginal and Torres Strait Islander People. </w:t>
      </w:r>
      <w:r>
        <w:rPr>
          <w:rStyle w:val="normaltextrun"/>
          <w:rFonts w:ascii="Source Sans Pro" w:hAnsi="Source Sans Pro" w:cs="Segoe UI"/>
          <w:color w:val="202020"/>
          <w:sz w:val="21"/>
          <w:szCs w:val="21"/>
        </w:rPr>
        <w:t>More information about this year’s Conference theme can be found on our website here:</w:t>
      </w:r>
      <w:hyperlink r:id="rId10" w:history="1">
        <w:r w:rsidR="00B40615" w:rsidRPr="00774B3C">
          <w:rPr>
            <w:rStyle w:val="Hyperlink"/>
            <w:rFonts w:asciiTheme="minorHAnsi" w:hAnsiTheme="minorHAnsi" w:cstheme="minorHAnsi"/>
            <w:sz w:val="21"/>
            <w:szCs w:val="21"/>
          </w:rPr>
          <w:t>https://mspgh.unimelb.edu.au/centres-institutes/centre-for-health-equity/research-group/ieh/roadmap/conference/2023-NATSIEHC#abstracts</w:t>
        </w:r>
      </w:hyperlink>
    </w:p>
    <w:p w14:paraId="7A47C07C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9B935F4" w14:textId="5A58C7ED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>How do I submit an abstract?</w:t>
      </w:r>
    </w:p>
    <w:p w14:paraId="1AFAA4E5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F4FCD29" w14:textId="2E36E1EC" w:rsidR="00D819B4" w:rsidRPr="00B40615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="Source Sans Pro" w:hAnsi="Source Sans Pro" w:cs="Segoe UI"/>
          <w:sz w:val="21"/>
          <w:szCs w:val="21"/>
        </w:rPr>
        <w:t xml:space="preserve">Just use the Abstracts Submissions Form, available on the Conference website at the bottom of the page: </w:t>
      </w:r>
      <w:hyperlink r:id="rId11" w:history="1">
        <w:r w:rsidR="00B40615" w:rsidRPr="00774B3C">
          <w:rPr>
            <w:rStyle w:val="Hyperlink"/>
            <w:rFonts w:asciiTheme="minorHAnsi" w:hAnsiTheme="minorHAnsi" w:cstheme="minorHAnsi"/>
            <w:sz w:val="21"/>
            <w:szCs w:val="21"/>
          </w:rPr>
          <w:t>https://mspgh.unimelb.edu.au/centres-institutes/centre-for-health-equity/research-group/ieh/roadmap/conference/2023-NATSIEHC#abstracts</w:t>
        </w:r>
      </w:hyperlink>
    </w:p>
    <w:p w14:paraId="2F0F77EC" w14:textId="77777777" w:rsidR="00D819B4" w:rsidRP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579A4A8D" w14:textId="0975B178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lastRenderedPageBreak/>
        <w:t>What are some examples of topics of relevance?</w:t>
      </w:r>
    </w:p>
    <w:p w14:paraId="03261001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2AD7F7" w14:textId="355C4E69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sz w:val="21"/>
          <w:szCs w:val="21"/>
        </w:rPr>
        <w:t>Topics should generally be relevant to Aboriginal and Torres Strait Islander eye health, and to the 2023 Conference theme. Topics for abstracts could include:</w:t>
      </w:r>
    </w:p>
    <w:p w14:paraId="3138DB33" w14:textId="77777777" w:rsidR="00D819B4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7AC0947" w14:textId="0D89ACFE" w:rsidR="00D819B4" w:rsidRDefault="00D819B4" w:rsidP="00D819B4">
      <w:pPr>
        <w:pStyle w:val="paragraph"/>
        <w:numPr>
          <w:ilvl w:val="0"/>
          <w:numId w:val="7"/>
        </w:numPr>
        <w:spacing w:before="0" w:beforeAutospacing="0" w:after="0" w:afterAutospacing="0"/>
        <w:ind w:left="709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>Aboriginal and Torres Strait Islander leadership of eye care or community-led approaches to improving eye health outcomes:</w:t>
      </w:r>
      <w:r>
        <w:rPr>
          <w:rStyle w:val="normaltextrun"/>
          <w:rFonts w:ascii="Source Sans Pro" w:hAnsi="Source Sans Pro" w:cs="Segoe UI"/>
          <w:sz w:val="21"/>
          <w:szCs w:val="21"/>
        </w:rPr>
        <w:t xml:space="preserve"> Initiatives demonstrating effective leadership from Aboriginal and Torres Strait Islander people, communities, and their organisations, and how this has contributed to improving eye health outcomes.</w:t>
      </w:r>
    </w:p>
    <w:p w14:paraId="4DECCDDF" w14:textId="05E3C1AD" w:rsidR="00D819B4" w:rsidRDefault="00D819B4" w:rsidP="00D819B4">
      <w:pPr>
        <w:pStyle w:val="paragraph"/>
        <w:numPr>
          <w:ilvl w:val="0"/>
          <w:numId w:val="8"/>
        </w:numPr>
        <w:spacing w:before="0" w:beforeAutospacing="0" w:after="0" w:afterAutospacing="0"/>
        <w:ind w:left="709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>Effective commitment, communication, and advocacy in eye care:</w:t>
      </w:r>
      <w:r>
        <w:rPr>
          <w:rStyle w:val="normaltextrun"/>
          <w:rFonts w:ascii="Source Sans Pro" w:hAnsi="Source Sans Pro" w:cs="Segoe UI"/>
          <w:sz w:val="21"/>
          <w:szCs w:val="21"/>
        </w:rPr>
        <w:t xml:space="preserve"> Activities targeted at advancing efforts to end avoidable vision loss and </w:t>
      </w:r>
      <w:proofErr w:type="gramStart"/>
      <w:r>
        <w:rPr>
          <w:rStyle w:val="normaltextrun"/>
          <w:rFonts w:ascii="Source Sans Pro" w:hAnsi="Source Sans Pro" w:cs="Segoe UI"/>
          <w:sz w:val="21"/>
          <w:szCs w:val="21"/>
        </w:rPr>
        <w:t>blindness  amongst</w:t>
      </w:r>
      <w:proofErr w:type="gramEnd"/>
      <w:r>
        <w:rPr>
          <w:rStyle w:val="normaltextrun"/>
          <w:rFonts w:ascii="Source Sans Pro" w:hAnsi="Source Sans Pro" w:cs="Segoe UI"/>
          <w:sz w:val="21"/>
          <w:szCs w:val="21"/>
        </w:rPr>
        <w:t xml:space="preserve"> Aboriginal and Torres Strait Islander people, and the influencing techniques used to achieve this goal.</w:t>
      </w:r>
    </w:p>
    <w:p w14:paraId="10A2BF21" w14:textId="13B0A6DD" w:rsidR="00D819B4" w:rsidRDefault="00D819B4" w:rsidP="00D819B4">
      <w:pPr>
        <w:pStyle w:val="paragraph"/>
        <w:numPr>
          <w:ilvl w:val="0"/>
          <w:numId w:val="9"/>
        </w:numPr>
        <w:spacing w:before="0" w:beforeAutospacing="0" w:after="0" w:afterAutospacing="0"/>
        <w:ind w:left="709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>Working collaboratively and interculturally to improve eye health:</w:t>
      </w:r>
      <w:r>
        <w:rPr>
          <w:rStyle w:val="normaltextrun"/>
          <w:rFonts w:ascii="Source Sans Pro" w:hAnsi="Source Sans Pro" w:cs="Segoe UI"/>
          <w:sz w:val="21"/>
          <w:szCs w:val="21"/>
        </w:rPr>
        <w:t xml:space="preserve"> Initiatives that demonstrate strong collaboration between service providers and/or the sector and Aboriginal and Torres Strait Islander people, communities and their organisations, and the activities undertaken to ensure effective and culturally safe collaboration.</w:t>
      </w:r>
    </w:p>
    <w:p w14:paraId="4E8B03AB" w14:textId="765BB066" w:rsidR="00D819B4" w:rsidRDefault="00D819B4" w:rsidP="00D819B4">
      <w:pPr>
        <w:pStyle w:val="paragraph"/>
        <w:numPr>
          <w:ilvl w:val="0"/>
          <w:numId w:val="10"/>
        </w:numPr>
        <w:spacing w:before="0" w:beforeAutospacing="0" w:after="0" w:afterAutospacing="0"/>
        <w:ind w:left="709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 xml:space="preserve">Cultural safety in eye care and in the eye health and vision sector: </w:t>
      </w:r>
      <w:r>
        <w:rPr>
          <w:rStyle w:val="normaltextrun"/>
          <w:rFonts w:ascii="Source Sans Pro" w:hAnsi="Source Sans Pro" w:cs="Segoe UI"/>
          <w:sz w:val="21"/>
          <w:szCs w:val="21"/>
        </w:rPr>
        <w:t>Activities undertaken to increase cultural safety within eye care and in promoting culturally safe collaboration across the eye health and vision care sector.</w:t>
      </w:r>
    </w:p>
    <w:p w14:paraId="4618972E" w14:textId="76100B3C" w:rsidR="00D819B4" w:rsidRDefault="00D819B4" w:rsidP="00D819B4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>Eye care in the primary health care setting:</w:t>
      </w:r>
      <w:r>
        <w:rPr>
          <w:rStyle w:val="normaltextrun"/>
          <w:rFonts w:ascii="Source Sans Pro" w:hAnsi="Source Sans Pro" w:cs="Segoe UI"/>
          <w:sz w:val="21"/>
          <w:szCs w:val="21"/>
        </w:rPr>
        <w:t xml:space="preserve"> Efforts to successfully embed eye care in Primary Health Care (PHC) and the collaboration that supports this to occur.</w:t>
      </w:r>
    </w:p>
    <w:p w14:paraId="386C944E" w14:textId="1871517F" w:rsidR="00D819B4" w:rsidRDefault="00D819B4" w:rsidP="00D819B4">
      <w:pPr>
        <w:pStyle w:val="paragraph"/>
        <w:numPr>
          <w:ilvl w:val="0"/>
          <w:numId w:val="12"/>
        </w:numPr>
        <w:spacing w:before="0" w:beforeAutospacing="0" w:after="0" w:afterAutospacing="0"/>
        <w:ind w:left="709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>Community and/or cultural engagement initiatives:</w:t>
      </w:r>
      <w:r>
        <w:rPr>
          <w:rStyle w:val="normaltextrun"/>
          <w:rFonts w:ascii="Source Sans Pro" w:hAnsi="Source Sans Pro" w:cs="Segoe UI"/>
          <w:sz w:val="21"/>
          <w:szCs w:val="21"/>
        </w:rPr>
        <w:t xml:space="preserve"> Activities that promote greater community and cultural engagement in the design, </w:t>
      </w:r>
      <w:proofErr w:type="gramStart"/>
      <w:r>
        <w:rPr>
          <w:rStyle w:val="normaltextrun"/>
          <w:rFonts w:ascii="Source Sans Pro" w:hAnsi="Source Sans Pro" w:cs="Segoe UI"/>
          <w:sz w:val="21"/>
          <w:szCs w:val="21"/>
        </w:rPr>
        <w:t>delivery</w:t>
      </w:r>
      <w:proofErr w:type="gramEnd"/>
      <w:r>
        <w:rPr>
          <w:rStyle w:val="normaltextrun"/>
          <w:rFonts w:ascii="Source Sans Pro" w:hAnsi="Source Sans Pro" w:cs="Segoe UI"/>
          <w:sz w:val="21"/>
          <w:szCs w:val="21"/>
        </w:rPr>
        <w:t xml:space="preserve"> and evaluation of eye care services.</w:t>
      </w:r>
    </w:p>
    <w:p w14:paraId="388250F3" w14:textId="603AF7EF" w:rsidR="00D819B4" w:rsidRDefault="00D819B4" w:rsidP="00D819B4">
      <w:pPr>
        <w:pStyle w:val="paragraph"/>
        <w:numPr>
          <w:ilvl w:val="0"/>
          <w:numId w:val="13"/>
        </w:numPr>
        <w:spacing w:before="0" w:beforeAutospacing="0" w:after="0" w:afterAutospacing="0"/>
        <w:ind w:left="709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 xml:space="preserve">Workforce development: </w:t>
      </w:r>
      <w:r>
        <w:rPr>
          <w:rStyle w:val="normaltextrun"/>
          <w:rFonts w:ascii="Source Sans Pro" w:hAnsi="Source Sans Pro" w:cs="Segoe UI"/>
          <w:sz w:val="21"/>
          <w:szCs w:val="21"/>
        </w:rPr>
        <w:t xml:space="preserve">Efforts that support and </w:t>
      </w:r>
      <w:proofErr w:type="gramStart"/>
      <w:r>
        <w:rPr>
          <w:rStyle w:val="normaltextrun"/>
          <w:rFonts w:ascii="Source Sans Pro" w:hAnsi="Source Sans Pro" w:cs="Segoe UI"/>
          <w:sz w:val="21"/>
          <w:szCs w:val="21"/>
        </w:rPr>
        <w:t>strengthen  eye</w:t>
      </w:r>
      <w:proofErr w:type="gramEnd"/>
      <w:r>
        <w:rPr>
          <w:rStyle w:val="normaltextrun"/>
          <w:rFonts w:ascii="Source Sans Pro" w:hAnsi="Source Sans Pro" w:cs="Segoe UI"/>
          <w:sz w:val="21"/>
          <w:szCs w:val="21"/>
        </w:rPr>
        <w:t xml:space="preserve"> care through the development of workforce capacity and capability.</w:t>
      </w:r>
    </w:p>
    <w:p w14:paraId="7A68413B" w14:textId="43028A04" w:rsidR="00D819B4" w:rsidRDefault="00D819B4" w:rsidP="00D819B4">
      <w:pPr>
        <w:pStyle w:val="paragraph"/>
        <w:numPr>
          <w:ilvl w:val="0"/>
          <w:numId w:val="14"/>
        </w:numPr>
        <w:spacing w:before="0" w:beforeAutospacing="0" w:after="0" w:afterAutospacing="0"/>
        <w:ind w:left="709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>Overcoming challenges in coordination and case management</w:t>
      </w:r>
      <w:r>
        <w:rPr>
          <w:rStyle w:val="normaltextrun"/>
          <w:rFonts w:ascii="Source Sans Pro" w:hAnsi="Source Sans Pro" w:cs="Segoe UI"/>
          <w:sz w:val="21"/>
          <w:szCs w:val="21"/>
        </w:rPr>
        <w:t>: Initiatives successful in overcoming the challenges with ensuring coordination and case management of the eye care needs of Aboriginal and Torres Strait Islander people.</w:t>
      </w:r>
    </w:p>
    <w:p w14:paraId="45588DEB" w14:textId="0DEC39F9" w:rsidR="00D819B4" w:rsidRPr="00D819B4" w:rsidRDefault="00D819B4" w:rsidP="00D819B4">
      <w:pPr>
        <w:pStyle w:val="paragraph"/>
        <w:numPr>
          <w:ilvl w:val="0"/>
          <w:numId w:val="15"/>
        </w:numPr>
        <w:spacing w:before="0" w:beforeAutospacing="0" w:after="0" w:afterAutospacing="0"/>
        <w:ind w:left="709" w:hanging="425"/>
        <w:textAlignment w:val="baseline"/>
        <w:rPr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>Improving outcomes and access to services:</w:t>
      </w:r>
      <w:r>
        <w:rPr>
          <w:rStyle w:val="normaltextrun"/>
          <w:rFonts w:ascii="Source Sans Pro" w:hAnsi="Source Sans Pro" w:cs="Segoe UI"/>
          <w:sz w:val="21"/>
          <w:szCs w:val="21"/>
        </w:rPr>
        <w:t xml:space="preserve"> Efforts to improve access to eye care services for Aboriginal and Torres Strait Islander people and how this has improved eye health outcomes for communities.</w:t>
      </w:r>
    </w:p>
    <w:p w14:paraId="398F1CD5" w14:textId="2D125184" w:rsidR="00D819B4" w:rsidRDefault="00D819B4" w:rsidP="00D819B4">
      <w:pPr>
        <w:pStyle w:val="paragraph"/>
        <w:numPr>
          <w:ilvl w:val="0"/>
          <w:numId w:val="16"/>
        </w:numPr>
        <w:spacing w:before="0" w:beforeAutospacing="0" w:after="0" w:afterAutospacing="0"/>
        <w:ind w:left="709" w:hanging="425"/>
        <w:textAlignment w:val="baseline"/>
        <w:rPr>
          <w:rStyle w:val="normaltextrun"/>
          <w:rFonts w:ascii="Source Sans Pro" w:hAnsi="Source Sans Pro" w:cs="Segoe UI"/>
          <w:sz w:val="21"/>
          <w:szCs w:val="21"/>
        </w:rPr>
      </w:pPr>
      <w:r>
        <w:rPr>
          <w:rStyle w:val="normaltextrun"/>
          <w:rFonts w:ascii="Source Sans Pro" w:hAnsi="Source Sans Pro" w:cs="Segoe UI"/>
          <w:b/>
          <w:bCs/>
          <w:sz w:val="21"/>
          <w:szCs w:val="21"/>
        </w:rPr>
        <w:t>Health system changes and reform:</w:t>
      </w:r>
      <w:r>
        <w:rPr>
          <w:rStyle w:val="normaltextrun"/>
          <w:rFonts w:ascii="Source Sans Pro" w:hAnsi="Source Sans Pro" w:cs="Segoe UI"/>
          <w:sz w:val="21"/>
          <w:szCs w:val="21"/>
        </w:rPr>
        <w:t xml:space="preserve"> Activities that contribute to effecting changes in the health system that facilitate greater access to eye care and outcomes for Aboriginal and Torres Strait Islander people.</w:t>
      </w:r>
    </w:p>
    <w:p w14:paraId="32CE0E58" w14:textId="77777777" w:rsidR="00D819B4" w:rsidRPr="00D819B4" w:rsidRDefault="00D819B4" w:rsidP="00D819B4">
      <w:pPr>
        <w:pStyle w:val="paragraph"/>
        <w:spacing w:before="0" w:beforeAutospacing="0" w:after="0" w:afterAutospacing="0"/>
        <w:ind w:left="709"/>
        <w:textAlignment w:val="baseline"/>
        <w:rPr>
          <w:rFonts w:ascii="Source Sans Pro" w:hAnsi="Source Sans Pro" w:cs="Segoe UI"/>
          <w:sz w:val="21"/>
          <w:szCs w:val="21"/>
        </w:rPr>
      </w:pPr>
    </w:p>
    <w:p w14:paraId="03420088" w14:textId="282E5DCB" w:rsidR="00DC76AD" w:rsidRPr="00B40615" w:rsidRDefault="00D819B4" w:rsidP="00D819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sz w:val="21"/>
          <w:szCs w:val="21"/>
        </w:rPr>
        <w:t>For more information about NATSIEHC23, please see:</w:t>
      </w:r>
      <w:r w:rsidR="00B40615">
        <w:rPr>
          <w:rFonts w:ascii="Segoe UI" w:hAnsi="Segoe UI" w:cs="Segoe UI"/>
          <w:sz w:val="18"/>
          <w:szCs w:val="18"/>
        </w:rPr>
        <w:t xml:space="preserve"> </w:t>
      </w:r>
      <w:hyperlink r:id="rId12" w:history="1">
        <w:r w:rsidR="003D72F2" w:rsidRPr="00774B3C">
          <w:rPr>
            <w:rStyle w:val="Hyperlink"/>
            <w:rFonts w:asciiTheme="minorHAnsi" w:hAnsiTheme="minorHAnsi" w:cstheme="minorHAnsi"/>
            <w:sz w:val="21"/>
            <w:szCs w:val="21"/>
          </w:rPr>
          <w:t>https://mspgh.unimelb.edu.au/centres-ins</w:t>
        </w:r>
        <w:r w:rsidR="003D72F2" w:rsidRPr="00774B3C">
          <w:rPr>
            <w:rStyle w:val="Hyperlink"/>
            <w:rFonts w:asciiTheme="minorHAnsi" w:hAnsiTheme="minorHAnsi" w:cstheme="minorHAnsi"/>
            <w:sz w:val="21"/>
            <w:szCs w:val="21"/>
          </w:rPr>
          <w:t>t</w:t>
        </w:r>
        <w:r w:rsidR="003D72F2" w:rsidRPr="00774B3C">
          <w:rPr>
            <w:rStyle w:val="Hyperlink"/>
            <w:rFonts w:asciiTheme="minorHAnsi" w:hAnsiTheme="minorHAnsi" w:cstheme="minorHAnsi"/>
            <w:sz w:val="21"/>
            <w:szCs w:val="21"/>
          </w:rPr>
          <w:t>itutes/centre-for-health-equity/research-group/ieh/roadmap/conference/2023-NATSIEHC</w:t>
        </w:r>
      </w:hyperlink>
    </w:p>
    <w:sectPr w:rsidR="00DC76AD" w:rsidRPr="00B40615" w:rsidSect="00A74753">
      <w:headerReference w:type="default" r:id="rId13"/>
      <w:pgSz w:w="11906" w:h="16838"/>
      <w:pgMar w:top="69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85F6" w14:textId="77777777" w:rsidR="00542A12" w:rsidRDefault="00542A12" w:rsidP="003113CD">
      <w:r>
        <w:separator/>
      </w:r>
    </w:p>
  </w:endnote>
  <w:endnote w:type="continuationSeparator" w:id="0">
    <w:p w14:paraId="33604A7B" w14:textId="77777777" w:rsidR="00542A12" w:rsidRDefault="00542A12" w:rsidP="0031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5782" w14:textId="77777777" w:rsidR="00542A12" w:rsidRDefault="00542A12" w:rsidP="003113CD">
      <w:r>
        <w:separator/>
      </w:r>
    </w:p>
  </w:footnote>
  <w:footnote w:type="continuationSeparator" w:id="0">
    <w:p w14:paraId="4F5ED54B" w14:textId="77777777" w:rsidR="00542A12" w:rsidRDefault="00542A12" w:rsidP="0031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4313" w14:textId="23487CF6" w:rsidR="003113CD" w:rsidRDefault="004F75D7" w:rsidP="003113CD">
    <w:pPr>
      <w:pStyle w:val="Header"/>
      <w:jc w:val="center"/>
    </w:pPr>
    <w:r>
      <w:rPr>
        <w:rFonts w:ascii="Source Sans Pro" w:hAnsi="Source Sans Pro"/>
        <w:noProof/>
      </w:rPr>
      <w:drawing>
        <wp:inline distT="0" distB="0" distL="0" distR="0" wp14:anchorId="387023CB" wp14:editId="1B7CF179">
          <wp:extent cx="3574289" cy="15170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406" cy="152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CD8"/>
    <w:multiLevelType w:val="multilevel"/>
    <w:tmpl w:val="96B8B2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0567D"/>
    <w:multiLevelType w:val="multilevel"/>
    <w:tmpl w:val="88E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803BC"/>
    <w:multiLevelType w:val="multilevel"/>
    <w:tmpl w:val="C092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00130"/>
    <w:multiLevelType w:val="multilevel"/>
    <w:tmpl w:val="8B3E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007D51"/>
    <w:multiLevelType w:val="multilevel"/>
    <w:tmpl w:val="9B7A19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B4C19"/>
    <w:multiLevelType w:val="multilevel"/>
    <w:tmpl w:val="2724D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F137C"/>
    <w:multiLevelType w:val="multilevel"/>
    <w:tmpl w:val="7D10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C52DC"/>
    <w:multiLevelType w:val="multilevel"/>
    <w:tmpl w:val="23F828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403AE"/>
    <w:multiLevelType w:val="multilevel"/>
    <w:tmpl w:val="AB88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6A0286"/>
    <w:multiLevelType w:val="multilevel"/>
    <w:tmpl w:val="F7FC2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A74C04"/>
    <w:multiLevelType w:val="multilevel"/>
    <w:tmpl w:val="E55A7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B9629D"/>
    <w:multiLevelType w:val="multilevel"/>
    <w:tmpl w:val="DB1C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B464E6"/>
    <w:multiLevelType w:val="multilevel"/>
    <w:tmpl w:val="34B09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82383D"/>
    <w:multiLevelType w:val="multilevel"/>
    <w:tmpl w:val="9B6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BD37AD"/>
    <w:multiLevelType w:val="multilevel"/>
    <w:tmpl w:val="5EAC47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540E4B"/>
    <w:multiLevelType w:val="multilevel"/>
    <w:tmpl w:val="E5BA8C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1147888">
    <w:abstractNumId w:val="1"/>
  </w:num>
  <w:num w:numId="2" w16cid:durableId="1263535239">
    <w:abstractNumId w:val="6"/>
  </w:num>
  <w:num w:numId="3" w16cid:durableId="249781531">
    <w:abstractNumId w:val="13"/>
  </w:num>
  <w:num w:numId="4" w16cid:durableId="250821875">
    <w:abstractNumId w:val="8"/>
  </w:num>
  <w:num w:numId="5" w16cid:durableId="980424580">
    <w:abstractNumId w:val="11"/>
  </w:num>
  <w:num w:numId="6" w16cid:durableId="1404796863">
    <w:abstractNumId w:val="3"/>
  </w:num>
  <w:num w:numId="7" w16cid:durableId="220167799">
    <w:abstractNumId w:val="2"/>
  </w:num>
  <w:num w:numId="8" w16cid:durableId="1574272820">
    <w:abstractNumId w:val="12"/>
  </w:num>
  <w:num w:numId="9" w16cid:durableId="1042244838">
    <w:abstractNumId w:val="10"/>
  </w:num>
  <w:num w:numId="10" w16cid:durableId="643512880">
    <w:abstractNumId w:val="5"/>
  </w:num>
  <w:num w:numId="11" w16cid:durableId="30544923">
    <w:abstractNumId w:val="9"/>
  </w:num>
  <w:num w:numId="12" w16cid:durableId="128671058">
    <w:abstractNumId w:val="7"/>
  </w:num>
  <w:num w:numId="13" w16cid:durableId="1779835825">
    <w:abstractNumId w:val="14"/>
  </w:num>
  <w:num w:numId="14" w16cid:durableId="2092580978">
    <w:abstractNumId w:val="4"/>
  </w:num>
  <w:num w:numId="15" w16cid:durableId="571354794">
    <w:abstractNumId w:val="15"/>
  </w:num>
  <w:num w:numId="16" w16cid:durableId="198793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53"/>
    <w:rsid w:val="00196CDF"/>
    <w:rsid w:val="001B18CB"/>
    <w:rsid w:val="002F0998"/>
    <w:rsid w:val="003113CD"/>
    <w:rsid w:val="0032018E"/>
    <w:rsid w:val="00354035"/>
    <w:rsid w:val="0038320C"/>
    <w:rsid w:val="003D72F2"/>
    <w:rsid w:val="004F75D7"/>
    <w:rsid w:val="00542A12"/>
    <w:rsid w:val="00614C92"/>
    <w:rsid w:val="00694489"/>
    <w:rsid w:val="006B169B"/>
    <w:rsid w:val="006F278A"/>
    <w:rsid w:val="00724F53"/>
    <w:rsid w:val="007F5340"/>
    <w:rsid w:val="008039FE"/>
    <w:rsid w:val="008062D8"/>
    <w:rsid w:val="008178D2"/>
    <w:rsid w:val="00844B4D"/>
    <w:rsid w:val="00896C1F"/>
    <w:rsid w:val="009B368A"/>
    <w:rsid w:val="009B6C35"/>
    <w:rsid w:val="009F1E38"/>
    <w:rsid w:val="009F2246"/>
    <w:rsid w:val="00A74753"/>
    <w:rsid w:val="00AF08F4"/>
    <w:rsid w:val="00B40615"/>
    <w:rsid w:val="00B64B6F"/>
    <w:rsid w:val="00B74111"/>
    <w:rsid w:val="00B81197"/>
    <w:rsid w:val="00CE1FF1"/>
    <w:rsid w:val="00D177F0"/>
    <w:rsid w:val="00D3507C"/>
    <w:rsid w:val="00D819B4"/>
    <w:rsid w:val="00DA10E9"/>
    <w:rsid w:val="00DC76AD"/>
    <w:rsid w:val="00ED3FB4"/>
    <w:rsid w:val="00F706D0"/>
    <w:rsid w:val="00F85B95"/>
    <w:rsid w:val="00F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3A62"/>
  <w15:chartTrackingRefBased/>
  <w15:docId w15:val="{5535FDE6-3C80-9646-AC1A-8DADD7D4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6AD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113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7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74753"/>
    <w:rPr>
      <w:b/>
      <w:bCs/>
    </w:rPr>
  </w:style>
  <w:style w:type="character" w:styleId="Hyperlink">
    <w:name w:val="Hyperlink"/>
    <w:basedOn w:val="DefaultParagraphFont"/>
    <w:uiPriority w:val="99"/>
    <w:unhideWhenUsed/>
    <w:rsid w:val="00A747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7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7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7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7475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13C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1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3CD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1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3CD"/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D3507C"/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4F75D7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4F75D7"/>
  </w:style>
  <w:style w:type="character" w:customStyle="1" w:styleId="eop">
    <w:name w:val="eop"/>
    <w:basedOn w:val="DefaultParagraphFont"/>
    <w:rsid w:val="004F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unimelb.edu.au/__data/assets/pdf_file/0007/471274/Writing_an_Abstract_Update_051112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udents.unimelb.edu.au/academic-skills/explore-our-resources/research-techniques/writing-an-abstract" TargetMode="External"/><Relationship Id="rId12" Type="http://schemas.openxmlformats.org/officeDocument/2006/relationships/hyperlink" Target="https://mspgh.unimelb.edu.au/centres-institutes/centre-for-health-equity/research-group/ieh/roadmap/conference/2023-NATSIE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pgh.unimelb.edu.au/centres-institutes/centre-for-health-equity/research-group/ieh/roadmap/conference/2023-NATSIEHC#abstrac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spgh.unimelb.edu.au/centres-institutes/centre-for-health-equity/research-group/ieh/roadmap/conference/2023-NATSIEHC#abstra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y.gillor@unimelb.edu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Ferguson</dc:creator>
  <cp:keywords/>
  <dc:description/>
  <cp:lastModifiedBy>Rachael Ferguson</cp:lastModifiedBy>
  <cp:revision>3</cp:revision>
  <dcterms:created xsi:type="dcterms:W3CDTF">2023-01-15T23:38:00Z</dcterms:created>
  <dcterms:modified xsi:type="dcterms:W3CDTF">2023-01-15T23:39:00Z</dcterms:modified>
</cp:coreProperties>
</file>