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BA38E" w14:textId="209E5D73" w:rsidR="00A74753" w:rsidRPr="003113CD" w:rsidRDefault="00A74753">
      <w:pPr>
        <w:rPr>
          <w:rFonts w:ascii="Source Sans Pro" w:hAnsi="Source Sans Pro"/>
        </w:rPr>
      </w:pPr>
    </w:p>
    <w:p w14:paraId="5089BB57" w14:textId="0B32C51D" w:rsidR="00A74753" w:rsidRPr="00A74753" w:rsidRDefault="003113CD" w:rsidP="003113CD">
      <w:pPr>
        <w:pStyle w:val="Heading3"/>
        <w:shd w:val="clear" w:color="auto" w:fill="FFFFFF"/>
        <w:rPr>
          <w:rFonts w:ascii="Source Sans Pro" w:hAnsi="Source Sans Pro"/>
          <w:color w:val="1D1D1D"/>
        </w:rPr>
      </w:pPr>
      <w:r w:rsidRPr="003113CD">
        <w:rPr>
          <w:rFonts w:ascii="Source Sans Pro" w:hAnsi="Source Sans Pro"/>
          <w:color w:val="1D1D1D"/>
        </w:rPr>
        <w:t>National Aboriginal and Torres Strait Islander Eye Health Conference 2022</w:t>
      </w:r>
      <w:r w:rsidR="00BE5B7C">
        <w:rPr>
          <w:rFonts w:ascii="Source Sans Pro" w:hAnsi="Source Sans Pro"/>
          <w:color w:val="1D1D1D"/>
        </w:rPr>
        <w:t>: Abstract preparation support</w:t>
      </w:r>
    </w:p>
    <w:p w14:paraId="7D1B1FAF" w14:textId="77777777" w:rsidR="00BE5B7C" w:rsidRPr="00BE5B7C" w:rsidRDefault="00BE5B7C" w:rsidP="00BE5B7C">
      <w:pPr>
        <w:spacing w:after="40"/>
        <w:rPr>
          <w:rFonts w:ascii="Source Sans Pro" w:hAnsi="Source Sans Pro" w:cstheme="minorHAnsi"/>
          <w:b/>
          <w:bCs/>
          <w:sz w:val="21"/>
          <w:szCs w:val="21"/>
          <w:lang w:val="en-US"/>
        </w:rPr>
      </w:pPr>
      <w:r w:rsidRPr="00BE5B7C">
        <w:rPr>
          <w:rFonts w:ascii="Source Sans Pro" w:hAnsi="Source Sans Pro" w:cstheme="minorHAnsi"/>
          <w:b/>
          <w:bCs/>
          <w:sz w:val="21"/>
          <w:szCs w:val="21"/>
          <w:lang w:val="en-US"/>
        </w:rPr>
        <w:t>What should the abstract contain?</w:t>
      </w:r>
    </w:p>
    <w:p w14:paraId="149B7CEE" w14:textId="77777777" w:rsidR="00BE5B7C" w:rsidRPr="00BE5B7C" w:rsidRDefault="00BE5B7C" w:rsidP="00BE5B7C">
      <w:pPr>
        <w:rPr>
          <w:rFonts w:ascii="Source Sans Pro" w:hAnsi="Source Sans Pro" w:cstheme="minorHAnsi"/>
          <w:sz w:val="21"/>
          <w:szCs w:val="21"/>
          <w:lang w:val="en-US"/>
        </w:rPr>
      </w:pPr>
      <w:r w:rsidRPr="00BE5B7C">
        <w:rPr>
          <w:rFonts w:ascii="Source Sans Pro" w:hAnsi="Source Sans Pro" w:cstheme="minorHAnsi"/>
          <w:sz w:val="21"/>
          <w:szCs w:val="21"/>
          <w:lang w:val="en-US"/>
        </w:rPr>
        <w:t>An abstract is a short (up to 200 words) text which describes the topic and content of a suggested presentation. We are not requiring abstracts to fit a specific format, but in general, we suggest that it is written in a way that is accessible for the wide variety of stakeholders that will attend the Conference.</w:t>
      </w:r>
    </w:p>
    <w:p w14:paraId="2C146FC8" w14:textId="77777777" w:rsidR="00BE5B7C" w:rsidRPr="00BE5B7C" w:rsidRDefault="00BE5B7C" w:rsidP="00BE5B7C">
      <w:pPr>
        <w:spacing w:after="240"/>
        <w:rPr>
          <w:rFonts w:ascii="Source Sans Pro" w:hAnsi="Source Sans Pro" w:cstheme="minorHAnsi"/>
          <w:b/>
          <w:bCs/>
          <w:sz w:val="21"/>
          <w:szCs w:val="21"/>
          <w:lang w:val="en-US"/>
        </w:rPr>
      </w:pPr>
      <w:r w:rsidRPr="00BE5B7C">
        <w:rPr>
          <w:rFonts w:ascii="Source Sans Pro" w:hAnsi="Source Sans Pro" w:cstheme="minorHAnsi"/>
          <w:sz w:val="21"/>
          <w:szCs w:val="21"/>
          <w:lang w:val="en-US"/>
        </w:rPr>
        <w:t xml:space="preserve">Common elements that may be included in the abstract </w:t>
      </w:r>
      <w:proofErr w:type="gramStart"/>
      <w:r w:rsidRPr="00BE5B7C">
        <w:rPr>
          <w:rFonts w:ascii="Source Sans Pro" w:hAnsi="Source Sans Pro" w:cstheme="minorHAnsi"/>
          <w:sz w:val="21"/>
          <w:szCs w:val="21"/>
          <w:lang w:val="en-US"/>
        </w:rPr>
        <w:t>are:</w:t>
      </w:r>
      <w:proofErr w:type="gramEnd"/>
      <w:r w:rsidRPr="00BE5B7C">
        <w:rPr>
          <w:rFonts w:ascii="Source Sans Pro" w:hAnsi="Source Sans Pro" w:cstheme="minorHAnsi"/>
          <w:sz w:val="21"/>
          <w:szCs w:val="21"/>
          <w:lang w:val="en-US"/>
        </w:rPr>
        <w:t xml:space="preserve"> short background/ context; reason for writing; presenting a problem; mentioning any methods that may have been used to collect information to inform this suggested presentation; and, if relevant, outcomes.</w:t>
      </w:r>
    </w:p>
    <w:p w14:paraId="271123C6" w14:textId="77777777" w:rsidR="00BE5B7C" w:rsidRPr="00BE5B7C" w:rsidRDefault="00BE5B7C" w:rsidP="00BE5B7C">
      <w:pPr>
        <w:spacing w:after="40"/>
        <w:rPr>
          <w:rFonts w:ascii="Source Sans Pro" w:hAnsi="Source Sans Pro" w:cstheme="minorHAnsi"/>
          <w:b/>
          <w:bCs/>
          <w:sz w:val="21"/>
          <w:szCs w:val="21"/>
          <w:lang w:val="en-US"/>
        </w:rPr>
      </w:pPr>
      <w:r w:rsidRPr="00BE5B7C">
        <w:rPr>
          <w:rFonts w:ascii="Source Sans Pro" w:hAnsi="Source Sans Pro" w:cstheme="minorHAnsi"/>
          <w:b/>
          <w:bCs/>
          <w:sz w:val="21"/>
          <w:szCs w:val="21"/>
          <w:lang w:val="en-US"/>
        </w:rPr>
        <w:t>What type of presentations can I submit an abstract for?</w:t>
      </w:r>
    </w:p>
    <w:p w14:paraId="57962DC8" w14:textId="77777777" w:rsidR="00BE5B7C" w:rsidRPr="00BE5B7C" w:rsidRDefault="00BE5B7C" w:rsidP="00BE5B7C">
      <w:pPr>
        <w:spacing w:after="240"/>
        <w:rPr>
          <w:rFonts w:ascii="Source Sans Pro" w:hAnsi="Source Sans Pro" w:cstheme="minorHAnsi"/>
          <w:sz w:val="21"/>
          <w:szCs w:val="21"/>
          <w:lang w:val="en-US"/>
        </w:rPr>
      </w:pPr>
      <w:r w:rsidRPr="00BE5B7C">
        <w:rPr>
          <w:rFonts w:ascii="Source Sans Pro" w:hAnsi="Source Sans Pro" w:cstheme="minorHAnsi"/>
          <w:sz w:val="21"/>
          <w:szCs w:val="21"/>
          <w:lang w:val="en-US"/>
        </w:rPr>
        <w:t>You may submit an abstract for any of the four presentation methods and session types:</w:t>
      </w:r>
      <w:r w:rsidRPr="00BE5B7C">
        <w:rPr>
          <w:rFonts w:ascii="Source Sans Pro" w:hAnsi="Source Sans Pro"/>
          <w:sz w:val="21"/>
          <w:szCs w:val="21"/>
        </w:rPr>
        <w:t xml:space="preserve"> </w:t>
      </w:r>
      <w:r w:rsidRPr="00BE5B7C">
        <w:rPr>
          <w:rFonts w:ascii="Source Sans Pro" w:hAnsi="Source Sans Pro" w:cstheme="minorHAnsi"/>
          <w:sz w:val="21"/>
          <w:szCs w:val="21"/>
          <w:lang w:val="en-US"/>
        </w:rPr>
        <w:t>Oral presentation (with or without slides); tabletop presentations (short presentations repeated to small, rotating groups of delegates); workshop (longer sessions that include a teaching element); and poster presentations.</w:t>
      </w:r>
    </w:p>
    <w:p w14:paraId="37673D1B" w14:textId="77777777" w:rsidR="00BE5B7C" w:rsidRPr="00BE5B7C" w:rsidRDefault="00BE5B7C" w:rsidP="00BE5B7C">
      <w:pPr>
        <w:spacing w:after="40"/>
        <w:rPr>
          <w:rFonts w:ascii="Source Sans Pro" w:hAnsi="Source Sans Pro" w:cstheme="minorHAnsi"/>
          <w:b/>
          <w:bCs/>
          <w:sz w:val="21"/>
          <w:szCs w:val="21"/>
          <w:lang w:val="en-US"/>
        </w:rPr>
      </w:pPr>
      <w:r w:rsidRPr="00BE5B7C">
        <w:rPr>
          <w:rFonts w:ascii="Source Sans Pro" w:hAnsi="Source Sans Pro" w:cstheme="minorHAnsi"/>
          <w:b/>
          <w:bCs/>
          <w:sz w:val="21"/>
          <w:szCs w:val="21"/>
          <w:lang w:val="en-US"/>
        </w:rPr>
        <w:t>Are there any further resources available?</w:t>
      </w:r>
    </w:p>
    <w:p w14:paraId="0E9FFA6C" w14:textId="77777777" w:rsidR="00BE5B7C" w:rsidRPr="00BE5B7C" w:rsidRDefault="00BE5B7C" w:rsidP="00BE5B7C">
      <w:pPr>
        <w:pStyle w:val="ListParagraph"/>
        <w:numPr>
          <w:ilvl w:val="0"/>
          <w:numId w:val="4"/>
        </w:numPr>
        <w:rPr>
          <w:rFonts w:ascii="Source Sans Pro" w:hAnsi="Source Sans Pro" w:cstheme="minorHAnsi"/>
          <w:sz w:val="21"/>
          <w:szCs w:val="21"/>
          <w:lang w:val="en-US"/>
        </w:rPr>
      </w:pPr>
      <w:r w:rsidRPr="00BE5B7C">
        <w:rPr>
          <w:rFonts w:ascii="Source Sans Pro" w:hAnsi="Source Sans Pro" w:cstheme="minorHAnsi"/>
          <w:sz w:val="21"/>
          <w:szCs w:val="21"/>
          <w:lang w:val="en-US"/>
        </w:rPr>
        <w:t xml:space="preserve">The University of Melbourne has a helpful and detailed resource that can further help you write your abstract: </w:t>
      </w:r>
      <w:hyperlink r:id="rId7" w:history="1">
        <w:r w:rsidRPr="00BE5B7C">
          <w:rPr>
            <w:rStyle w:val="Hyperlink"/>
            <w:rFonts w:ascii="Source Sans Pro" w:hAnsi="Source Sans Pro" w:cstheme="minorHAnsi"/>
            <w:sz w:val="21"/>
            <w:szCs w:val="21"/>
            <w:lang w:val="en-US"/>
          </w:rPr>
          <w:t>https://students.unimelb.edu.au/academic-skills/explore-our-resources/research-techniques/writing-an-abstract</w:t>
        </w:r>
      </w:hyperlink>
      <w:r w:rsidRPr="00BE5B7C">
        <w:rPr>
          <w:rFonts w:ascii="Source Sans Pro" w:hAnsi="Source Sans Pro" w:cstheme="minorHAnsi"/>
          <w:sz w:val="21"/>
          <w:szCs w:val="21"/>
          <w:lang w:val="en-US"/>
        </w:rPr>
        <w:t xml:space="preserve"> </w:t>
      </w:r>
    </w:p>
    <w:p w14:paraId="2A56AAE5" w14:textId="77777777" w:rsidR="00BE5B7C" w:rsidRPr="00BE5B7C" w:rsidRDefault="00BE5B7C" w:rsidP="00BE5B7C">
      <w:pPr>
        <w:pStyle w:val="ListParagraph"/>
        <w:numPr>
          <w:ilvl w:val="0"/>
          <w:numId w:val="4"/>
        </w:numPr>
        <w:rPr>
          <w:rFonts w:ascii="Source Sans Pro" w:hAnsi="Source Sans Pro" w:cstheme="minorHAnsi"/>
          <w:sz w:val="21"/>
          <w:szCs w:val="21"/>
          <w:lang w:val="en-US"/>
        </w:rPr>
      </w:pPr>
      <w:r w:rsidRPr="00BE5B7C">
        <w:rPr>
          <w:rFonts w:ascii="Source Sans Pro" w:hAnsi="Source Sans Pro" w:cstheme="minorHAnsi"/>
          <w:sz w:val="21"/>
          <w:szCs w:val="21"/>
          <w:lang w:val="en-US"/>
        </w:rPr>
        <w:t xml:space="preserve">A shorter info-sheet is available here: </w:t>
      </w:r>
      <w:hyperlink r:id="rId8" w:history="1">
        <w:r w:rsidRPr="00BE5B7C">
          <w:rPr>
            <w:rStyle w:val="Hyperlink"/>
            <w:rFonts w:ascii="Source Sans Pro" w:hAnsi="Source Sans Pro" w:cstheme="minorHAnsi"/>
            <w:sz w:val="21"/>
            <w:szCs w:val="21"/>
            <w:lang w:val="en-US"/>
          </w:rPr>
          <w:t>https://services.unimelb.edu.au/__data/assets/pdf_file/0007/471274/Writing_an_Abstract_Update_051112.pdf</w:t>
        </w:r>
      </w:hyperlink>
      <w:r w:rsidRPr="00BE5B7C">
        <w:rPr>
          <w:rFonts w:ascii="Source Sans Pro" w:hAnsi="Source Sans Pro" w:cstheme="minorHAnsi"/>
          <w:sz w:val="21"/>
          <w:szCs w:val="21"/>
          <w:lang w:val="en-US"/>
        </w:rPr>
        <w:t xml:space="preserve"> </w:t>
      </w:r>
    </w:p>
    <w:p w14:paraId="59E6ECBB" w14:textId="77777777" w:rsidR="00BE5B7C" w:rsidRPr="00BE5B7C" w:rsidRDefault="00BE5B7C" w:rsidP="00BE5B7C">
      <w:pPr>
        <w:pStyle w:val="ListParagraph"/>
        <w:numPr>
          <w:ilvl w:val="0"/>
          <w:numId w:val="4"/>
        </w:numPr>
        <w:spacing w:after="240"/>
        <w:rPr>
          <w:rFonts w:ascii="Source Sans Pro" w:hAnsi="Source Sans Pro" w:cstheme="minorHAnsi"/>
          <w:sz w:val="21"/>
          <w:szCs w:val="21"/>
          <w:lang w:val="en-US"/>
        </w:rPr>
      </w:pPr>
      <w:r w:rsidRPr="00BE5B7C">
        <w:rPr>
          <w:rFonts w:ascii="Source Sans Pro" w:hAnsi="Source Sans Pro" w:cstheme="minorHAnsi"/>
          <w:sz w:val="21"/>
          <w:szCs w:val="21"/>
          <w:lang w:val="en-US"/>
        </w:rPr>
        <w:t xml:space="preserve">We (IEH staff) are also here to support you. Please email </w:t>
      </w:r>
      <w:hyperlink r:id="rId9" w:history="1">
        <w:r w:rsidRPr="00BE5B7C">
          <w:rPr>
            <w:rStyle w:val="Hyperlink"/>
            <w:rFonts w:ascii="Source Sans Pro" w:hAnsi="Source Sans Pro" w:cstheme="minorHAnsi"/>
            <w:sz w:val="21"/>
            <w:szCs w:val="21"/>
            <w:lang w:val="en-US"/>
          </w:rPr>
          <w:t>guy.gillor@unimelb.edu.au</w:t>
        </w:r>
      </w:hyperlink>
      <w:r w:rsidRPr="00BE5B7C">
        <w:rPr>
          <w:rFonts w:ascii="Source Sans Pro" w:hAnsi="Source Sans Pro" w:cstheme="minorHAnsi"/>
          <w:sz w:val="21"/>
          <w:szCs w:val="21"/>
          <w:lang w:val="en-US"/>
        </w:rPr>
        <w:t xml:space="preserve"> for any questions and assistance with your abstract. We are happy to help!</w:t>
      </w:r>
    </w:p>
    <w:p w14:paraId="0B149E19" w14:textId="77777777" w:rsidR="00BE5B7C" w:rsidRPr="00BE5B7C" w:rsidRDefault="00BE5B7C" w:rsidP="00BE5B7C">
      <w:pPr>
        <w:spacing w:after="40"/>
        <w:rPr>
          <w:rFonts w:ascii="Source Sans Pro" w:hAnsi="Source Sans Pro" w:cstheme="minorHAnsi"/>
          <w:b/>
          <w:bCs/>
          <w:sz w:val="21"/>
          <w:szCs w:val="21"/>
          <w:lang w:val="en-US"/>
        </w:rPr>
      </w:pPr>
      <w:r w:rsidRPr="00BE5B7C">
        <w:rPr>
          <w:rFonts w:ascii="Source Sans Pro" w:hAnsi="Source Sans Pro" w:cstheme="minorHAnsi"/>
          <w:b/>
          <w:bCs/>
          <w:sz w:val="21"/>
          <w:szCs w:val="21"/>
          <w:lang w:val="en-US"/>
        </w:rPr>
        <w:t>What is this year’s Conference theme?</w:t>
      </w:r>
    </w:p>
    <w:p w14:paraId="3101E898" w14:textId="77777777" w:rsidR="00BE5B7C" w:rsidRPr="00BE5B7C" w:rsidRDefault="00BE5B7C" w:rsidP="00BE5B7C">
      <w:pPr>
        <w:rPr>
          <w:rFonts w:ascii="Source Sans Pro" w:hAnsi="Source Sans Pro" w:cstheme="minorHAnsi"/>
          <w:sz w:val="21"/>
          <w:szCs w:val="21"/>
          <w:lang w:val="en-US"/>
        </w:rPr>
      </w:pPr>
      <w:r w:rsidRPr="00BE5B7C">
        <w:rPr>
          <w:rFonts w:ascii="Source Sans Pro" w:hAnsi="Source Sans Pro" w:cstheme="minorHAnsi"/>
          <w:sz w:val="21"/>
          <w:szCs w:val="21"/>
          <w:lang w:val="en-US"/>
        </w:rPr>
        <w:t xml:space="preserve">This year’s theme is Our Vision in Our Hands, as set by the Aboriginal and Torres Strait Islander Conference Leadership Group (CLG) </w:t>
      </w:r>
      <w:r w:rsidRPr="00BE5B7C">
        <w:rPr>
          <w:rFonts w:ascii="Source Sans Pro" w:hAnsi="Source Sans Pro" w:cstheme="minorHAnsi"/>
          <w:color w:val="202020"/>
          <w:sz w:val="21"/>
          <w:szCs w:val="21"/>
        </w:rPr>
        <w:t xml:space="preserve">overseeing NATSIEHC22 and invites consideration of how best to approach efforts to close the gap for vision and end avoidable vision loss and blindness. More information about this year’s Conference theme can be found on our website here: </w:t>
      </w:r>
      <w:hyperlink r:id="rId10" w:anchor="abstracts" w:history="1">
        <w:r w:rsidRPr="00BE5B7C">
          <w:rPr>
            <w:rStyle w:val="Hyperlink"/>
            <w:rFonts w:ascii="Source Sans Pro" w:hAnsi="Source Sans Pro" w:cstheme="minorHAnsi"/>
            <w:sz w:val="21"/>
            <w:szCs w:val="21"/>
          </w:rPr>
          <w:t>https://mspgh.unimelb.edu.au/centres-institutes/centre-for-health-equity/research-group/ieh/roadmap/conference/NATSIEHC2022#abstracts</w:t>
        </w:r>
      </w:hyperlink>
      <w:r w:rsidRPr="00BE5B7C">
        <w:rPr>
          <w:rFonts w:ascii="Source Sans Pro" w:hAnsi="Source Sans Pro" w:cstheme="minorHAnsi"/>
          <w:color w:val="202020"/>
          <w:sz w:val="21"/>
          <w:szCs w:val="21"/>
        </w:rPr>
        <w:t xml:space="preserve"> </w:t>
      </w:r>
    </w:p>
    <w:p w14:paraId="3144DBF2" w14:textId="4E89EFB8" w:rsidR="00BE5B7C" w:rsidRDefault="00BE5B7C" w:rsidP="00BE5B7C">
      <w:pPr>
        <w:pStyle w:val="NormalWeb"/>
        <w:rPr>
          <w:rFonts w:ascii="Source Sans Pro" w:hAnsi="Source Sans Pro" w:cstheme="minorHAnsi"/>
          <w:b/>
          <w:bCs/>
          <w:sz w:val="21"/>
          <w:szCs w:val="21"/>
        </w:rPr>
      </w:pPr>
      <w:r>
        <w:rPr>
          <w:rFonts w:ascii="Source Sans Pro" w:hAnsi="Source Sans Pro" w:cstheme="minorHAnsi"/>
          <w:b/>
          <w:bCs/>
          <w:sz w:val="21"/>
          <w:szCs w:val="21"/>
        </w:rPr>
        <w:t>How do I submit an abstract?</w:t>
      </w:r>
    </w:p>
    <w:p w14:paraId="1CBE4561" w14:textId="49E21632" w:rsidR="00BE5B7C" w:rsidRPr="00BE5B7C" w:rsidRDefault="00BE5B7C" w:rsidP="00BE5B7C">
      <w:pPr>
        <w:pStyle w:val="NormalWeb"/>
        <w:rPr>
          <w:rFonts w:ascii="Source Sans Pro" w:hAnsi="Source Sans Pro" w:cstheme="minorHAnsi"/>
          <w:sz w:val="21"/>
          <w:szCs w:val="21"/>
        </w:rPr>
      </w:pPr>
      <w:r>
        <w:rPr>
          <w:rFonts w:ascii="Source Sans Pro" w:hAnsi="Source Sans Pro" w:cstheme="minorHAnsi"/>
          <w:sz w:val="21"/>
          <w:szCs w:val="21"/>
        </w:rPr>
        <w:t xml:space="preserve">Just use the Abstracts Submissions Form, available on the Conference website at the bottom of the page: </w:t>
      </w:r>
      <w:hyperlink r:id="rId11" w:anchor="abstracts" w:history="1">
        <w:r w:rsidRPr="008F2F55">
          <w:rPr>
            <w:rStyle w:val="Hyperlink"/>
            <w:rFonts w:ascii="Source Sans Pro" w:hAnsi="Source Sans Pro" w:cstheme="minorHAnsi"/>
            <w:sz w:val="21"/>
            <w:szCs w:val="21"/>
          </w:rPr>
          <w:t>https://mspgh.unimelb.edu.au/centres-institutes/centre-for-health-equity/research-group/ieh/roadmap/conference/NATSIEHC2022#abstracts</w:t>
        </w:r>
      </w:hyperlink>
      <w:r>
        <w:rPr>
          <w:rFonts w:ascii="Source Sans Pro" w:hAnsi="Source Sans Pro" w:cstheme="minorHAnsi"/>
          <w:sz w:val="21"/>
          <w:szCs w:val="21"/>
        </w:rPr>
        <w:t xml:space="preserve"> </w:t>
      </w:r>
    </w:p>
    <w:p w14:paraId="2CCBAD69" w14:textId="77777777" w:rsidR="00BE5B7C" w:rsidRPr="00BE5B7C" w:rsidRDefault="00BE5B7C" w:rsidP="00BE5B7C">
      <w:pPr>
        <w:pStyle w:val="NormalWeb"/>
        <w:rPr>
          <w:rFonts w:ascii="Source Sans Pro" w:hAnsi="Source Sans Pro" w:cstheme="minorHAnsi"/>
          <w:b/>
          <w:bCs/>
          <w:sz w:val="21"/>
          <w:szCs w:val="21"/>
        </w:rPr>
      </w:pPr>
      <w:r w:rsidRPr="00BE5B7C">
        <w:rPr>
          <w:rFonts w:ascii="Source Sans Pro" w:hAnsi="Source Sans Pro" w:cstheme="minorHAnsi"/>
          <w:b/>
          <w:bCs/>
          <w:sz w:val="21"/>
          <w:szCs w:val="21"/>
        </w:rPr>
        <w:lastRenderedPageBreak/>
        <w:t>What are some examples of topics of relevance?</w:t>
      </w:r>
    </w:p>
    <w:p w14:paraId="1CC8635F" w14:textId="77777777" w:rsidR="00BE5B7C" w:rsidRPr="00BE5B7C" w:rsidRDefault="00BE5B7C" w:rsidP="00BE5B7C">
      <w:pPr>
        <w:pStyle w:val="NormalWeb"/>
        <w:rPr>
          <w:rFonts w:ascii="Source Sans Pro" w:hAnsi="Source Sans Pro" w:cstheme="minorHAnsi"/>
          <w:sz w:val="21"/>
          <w:szCs w:val="21"/>
        </w:rPr>
      </w:pPr>
      <w:r w:rsidRPr="00BE5B7C">
        <w:rPr>
          <w:rFonts w:ascii="Source Sans Pro" w:hAnsi="Source Sans Pro" w:cstheme="minorHAnsi"/>
          <w:sz w:val="21"/>
          <w:szCs w:val="21"/>
        </w:rPr>
        <w:t xml:space="preserve">Topics should generally be relevant to Aboriginal and Torres Strait Islander eye health, and to the 2022 Conference theme. Topics for abstracts could include: </w:t>
      </w:r>
    </w:p>
    <w:p w14:paraId="4E98FF43"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Aboriginal and Torres Strait Islander leadership of eye care or community-led approaches to improving eye health outcomes:</w:t>
      </w:r>
      <w:r w:rsidRPr="00BE5B7C">
        <w:rPr>
          <w:rFonts w:ascii="Source Sans Pro" w:hAnsi="Source Sans Pro" w:cstheme="minorHAnsi"/>
          <w:sz w:val="21"/>
          <w:szCs w:val="21"/>
        </w:rPr>
        <w:t xml:space="preserve"> Initiatives demonstrating effective leadership from Aboriginal and Torres Strait Islander people, communities, and their organisations, and how this has contributed to improving eye health outcomes.</w:t>
      </w:r>
    </w:p>
    <w:p w14:paraId="5E859FAE"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Effective commitment, communication, and advocacy in eye care:</w:t>
      </w:r>
      <w:r w:rsidRPr="00BE5B7C">
        <w:rPr>
          <w:rFonts w:ascii="Source Sans Pro" w:hAnsi="Source Sans Pro" w:cstheme="minorHAnsi"/>
          <w:sz w:val="21"/>
          <w:szCs w:val="21"/>
        </w:rPr>
        <w:t xml:space="preserve"> Activities targeted at advancing efforts to end avoidable blindness and vision loss amongst Aboriginal and Torres Strait Islander people, and the influencing techniques used to achieve this goal. </w:t>
      </w:r>
    </w:p>
    <w:p w14:paraId="474BB718"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Working collaboratively and interculturally to improve eye health:</w:t>
      </w:r>
      <w:r w:rsidRPr="00BE5B7C">
        <w:rPr>
          <w:rFonts w:ascii="Source Sans Pro" w:hAnsi="Source Sans Pro" w:cstheme="minorHAnsi"/>
          <w:sz w:val="21"/>
          <w:szCs w:val="21"/>
        </w:rPr>
        <w:t xml:space="preserve"> Initiatives that demonstrate strong collaboration between service providers and/or the sector and Aboriginal and Torres Strait Islander people, communities and their organisations, and the activities undertaken to ensure effective and culturally safe collaboration. </w:t>
      </w:r>
    </w:p>
    <w:p w14:paraId="3EBBE83D"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 xml:space="preserve">Cultural safety in eye care and in the eye health and vision sector: </w:t>
      </w:r>
      <w:r w:rsidRPr="00BE5B7C">
        <w:rPr>
          <w:rFonts w:ascii="Source Sans Pro" w:hAnsi="Source Sans Pro" w:cstheme="minorHAnsi"/>
          <w:sz w:val="21"/>
          <w:szCs w:val="21"/>
        </w:rPr>
        <w:t xml:space="preserve">Activities undertaken to increase cultural safety within eye care and in promoting culturally safe collaboration across the Eye Health and Vision Care Sector. </w:t>
      </w:r>
    </w:p>
    <w:p w14:paraId="49C941CE"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Eye care in the primary health care setting:</w:t>
      </w:r>
      <w:r w:rsidRPr="00BE5B7C">
        <w:rPr>
          <w:rFonts w:ascii="Source Sans Pro" w:hAnsi="Source Sans Pro" w:cstheme="minorHAnsi"/>
          <w:sz w:val="21"/>
          <w:szCs w:val="21"/>
        </w:rPr>
        <w:t xml:space="preserve"> Efforts to successfully embed eye care in Primary Health Care (PHC) and the collaboration that supports this to occur. </w:t>
      </w:r>
    </w:p>
    <w:p w14:paraId="48EE46EA"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Community and/or cultural engagement initiatives:</w:t>
      </w:r>
      <w:r w:rsidRPr="00BE5B7C">
        <w:rPr>
          <w:rFonts w:ascii="Source Sans Pro" w:hAnsi="Source Sans Pro" w:cstheme="minorHAnsi"/>
          <w:sz w:val="21"/>
          <w:szCs w:val="21"/>
        </w:rPr>
        <w:t xml:space="preserve"> Activities that promote greater community and cultural engagement in the design, </w:t>
      </w:r>
      <w:proofErr w:type="gramStart"/>
      <w:r w:rsidRPr="00BE5B7C">
        <w:rPr>
          <w:rFonts w:ascii="Source Sans Pro" w:hAnsi="Source Sans Pro" w:cstheme="minorHAnsi"/>
          <w:sz w:val="21"/>
          <w:szCs w:val="21"/>
        </w:rPr>
        <w:t>delivery</w:t>
      </w:r>
      <w:proofErr w:type="gramEnd"/>
      <w:r w:rsidRPr="00BE5B7C">
        <w:rPr>
          <w:rFonts w:ascii="Source Sans Pro" w:hAnsi="Source Sans Pro" w:cstheme="minorHAnsi"/>
          <w:sz w:val="21"/>
          <w:szCs w:val="21"/>
        </w:rPr>
        <w:t xml:space="preserve"> and evaluation of eye care services. </w:t>
      </w:r>
    </w:p>
    <w:p w14:paraId="782358FE"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 xml:space="preserve">Workforce development: </w:t>
      </w:r>
      <w:r w:rsidRPr="00BE5B7C">
        <w:rPr>
          <w:rFonts w:ascii="Source Sans Pro" w:hAnsi="Source Sans Pro" w:cstheme="minorHAnsi"/>
          <w:sz w:val="21"/>
          <w:szCs w:val="21"/>
        </w:rPr>
        <w:t xml:space="preserve">Efforts that strengthen cultural safety in eye care through the development of workforce capacity and capability. </w:t>
      </w:r>
    </w:p>
    <w:p w14:paraId="7F1A0E3E"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Overcoming challenges in coordination and case management</w:t>
      </w:r>
      <w:r w:rsidRPr="00BE5B7C">
        <w:rPr>
          <w:rFonts w:ascii="Source Sans Pro" w:hAnsi="Source Sans Pro" w:cstheme="minorHAnsi"/>
          <w:sz w:val="21"/>
          <w:szCs w:val="21"/>
        </w:rPr>
        <w:t xml:space="preserve">: Initiatives successful in overcoming the challenges with ensuring coordination and case management of the eye care needs of Aboriginal and Torres Strait Islander people. </w:t>
      </w:r>
    </w:p>
    <w:p w14:paraId="25A15809"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lang w:eastAsia="en-AU"/>
        </w:rPr>
        <w:t>Improving outcomes and access to services:</w:t>
      </w:r>
      <w:r w:rsidRPr="00BE5B7C">
        <w:rPr>
          <w:rFonts w:ascii="Source Sans Pro" w:hAnsi="Source Sans Pro" w:cstheme="minorHAnsi"/>
          <w:sz w:val="21"/>
          <w:szCs w:val="21"/>
        </w:rPr>
        <w:t xml:space="preserve"> Efforts to improve access to eye care services for Aboriginal and Torres Strait Islander people and how this has improved eye health outcomes for communities. </w:t>
      </w:r>
    </w:p>
    <w:p w14:paraId="39BB2052" w14:textId="77777777" w:rsidR="00BE5B7C" w:rsidRPr="00BE5B7C" w:rsidRDefault="00BE5B7C" w:rsidP="00BE5B7C">
      <w:pPr>
        <w:pStyle w:val="NormalWeb"/>
        <w:numPr>
          <w:ilvl w:val="0"/>
          <w:numId w:val="3"/>
        </w:numPr>
        <w:spacing w:before="40" w:beforeAutospacing="0" w:after="40" w:afterAutospacing="0"/>
        <w:ind w:left="714" w:hanging="357"/>
        <w:rPr>
          <w:rFonts w:ascii="Source Sans Pro" w:hAnsi="Source Sans Pro" w:cstheme="minorHAnsi"/>
          <w:sz w:val="21"/>
          <w:szCs w:val="21"/>
        </w:rPr>
      </w:pPr>
      <w:r w:rsidRPr="00BE5B7C">
        <w:rPr>
          <w:rFonts w:ascii="Source Sans Pro" w:hAnsi="Source Sans Pro" w:cstheme="minorHAnsi"/>
          <w:b/>
          <w:bCs/>
          <w:sz w:val="21"/>
          <w:szCs w:val="21"/>
        </w:rPr>
        <w:t>Health system changes and reform:</w:t>
      </w:r>
      <w:r w:rsidRPr="00BE5B7C">
        <w:rPr>
          <w:rFonts w:ascii="Source Sans Pro" w:hAnsi="Source Sans Pro" w:cstheme="minorHAnsi"/>
          <w:sz w:val="21"/>
          <w:szCs w:val="21"/>
        </w:rPr>
        <w:t xml:space="preserve"> Activities that contribute to effecting changes in the health system that facilitate greater access to eye care for Aboriginal and Torres Strait Islander people. </w:t>
      </w:r>
    </w:p>
    <w:p w14:paraId="5AD3B577" w14:textId="77777777" w:rsidR="00BE5B7C" w:rsidRPr="00BE5B7C" w:rsidRDefault="00BE5B7C" w:rsidP="00BE5B7C">
      <w:pPr>
        <w:rPr>
          <w:rFonts w:ascii="Source Sans Pro" w:hAnsi="Source Sans Pro" w:cstheme="minorHAnsi"/>
          <w:sz w:val="21"/>
          <w:szCs w:val="21"/>
        </w:rPr>
      </w:pPr>
    </w:p>
    <w:p w14:paraId="06E5819B" w14:textId="77777777" w:rsidR="00BE5B7C" w:rsidRPr="00BE5B7C" w:rsidRDefault="00BE5B7C" w:rsidP="00BE5B7C">
      <w:pPr>
        <w:rPr>
          <w:rFonts w:ascii="Source Sans Pro" w:hAnsi="Source Sans Pro" w:cstheme="minorHAnsi"/>
          <w:sz w:val="21"/>
          <w:szCs w:val="21"/>
        </w:rPr>
      </w:pPr>
      <w:r w:rsidRPr="00BE5B7C">
        <w:rPr>
          <w:rFonts w:ascii="Source Sans Pro" w:hAnsi="Source Sans Pro" w:cstheme="minorHAnsi"/>
          <w:sz w:val="21"/>
          <w:szCs w:val="21"/>
        </w:rPr>
        <w:t>For more information about NATSIEHC22, please see:</w:t>
      </w:r>
      <w:r w:rsidRPr="00BE5B7C">
        <w:rPr>
          <w:rFonts w:ascii="Source Sans Pro" w:hAnsi="Source Sans Pro" w:cstheme="minorHAnsi"/>
          <w:sz w:val="21"/>
          <w:szCs w:val="21"/>
          <w:lang w:val="en-US"/>
        </w:rPr>
        <w:t xml:space="preserve"> </w:t>
      </w:r>
      <w:hyperlink r:id="rId12" w:history="1">
        <w:r w:rsidRPr="00BE5B7C">
          <w:rPr>
            <w:rStyle w:val="Hyperlink"/>
            <w:rFonts w:ascii="Source Sans Pro" w:hAnsi="Source Sans Pro" w:cstheme="minorHAnsi"/>
            <w:sz w:val="21"/>
            <w:szCs w:val="21"/>
            <w:lang w:val="en-US"/>
          </w:rPr>
          <w:t>https://mspgh.unimelb.edu.au/centres-institutes/centre-for-health-equity/research-group/ieh/roadmap/conference/NATSIEHC2022</w:t>
        </w:r>
      </w:hyperlink>
      <w:r w:rsidRPr="00BE5B7C">
        <w:rPr>
          <w:rFonts w:ascii="Source Sans Pro" w:hAnsi="Source Sans Pro" w:cstheme="minorHAnsi"/>
          <w:sz w:val="21"/>
          <w:szCs w:val="21"/>
          <w:lang w:val="en-US"/>
        </w:rPr>
        <w:t xml:space="preserve"> </w:t>
      </w:r>
    </w:p>
    <w:sectPr w:rsidR="00BE5B7C" w:rsidRPr="00BE5B7C" w:rsidSect="00A74753">
      <w:headerReference w:type="default" r:id="rId13"/>
      <w:pgSz w:w="11906" w:h="16838"/>
      <w:pgMar w:top="69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C548D" w14:textId="77777777" w:rsidR="000B374A" w:rsidRDefault="000B374A" w:rsidP="003113CD">
      <w:r>
        <w:separator/>
      </w:r>
    </w:p>
  </w:endnote>
  <w:endnote w:type="continuationSeparator" w:id="0">
    <w:p w14:paraId="7DBD584C" w14:textId="77777777" w:rsidR="000B374A" w:rsidRDefault="000B374A" w:rsidP="00311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B2C3" w14:textId="77777777" w:rsidR="000B374A" w:rsidRDefault="000B374A" w:rsidP="003113CD">
      <w:r>
        <w:separator/>
      </w:r>
    </w:p>
  </w:footnote>
  <w:footnote w:type="continuationSeparator" w:id="0">
    <w:p w14:paraId="23276097" w14:textId="77777777" w:rsidR="000B374A" w:rsidRDefault="000B374A" w:rsidP="003113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313" w14:textId="09136749" w:rsidR="003113CD" w:rsidRDefault="003113CD" w:rsidP="003113CD">
    <w:pPr>
      <w:pStyle w:val="Header"/>
      <w:jc w:val="center"/>
    </w:pPr>
    <w:r w:rsidRPr="003113CD">
      <w:rPr>
        <w:rFonts w:ascii="Source Sans Pro" w:hAnsi="Source Sans Pro"/>
        <w:noProof/>
      </w:rPr>
      <w:drawing>
        <wp:inline distT="0" distB="0" distL="0" distR="0" wp14:anchorId="486E06D4" wp14:editId="4008CC68">
          <wp:extent cx="4944665" cy="1780837"/>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t="16435" b="11421"/>
                  <a:stretch/>
                </pic:blipFill>
                <pic:spPr bwMode="auto">
                  <a:xfrm>
                    <a:off x="0" y="0"/>
                    <a:ext cx="4983319" cy="17947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E0B"/>
    <w:multiLevelType w:val="hybridMultilevel"/>
    <w:tmpl w:val="38463EAE"/>
    <w:lvl w:ilvl="0" w:tplc="0BEA60A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80567D"/>
    <w:multiLevelType w:val="multilevel"/>
    <w:tmpl w:val="88E2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3F137C"/>
    <w:multiLevelType w:val="multilevel"/>
    <w:tmpl w:val="7D10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3042C"/>
    <w:multiLevelType w:val="hybridMultilevel"/>
    <w:tmpl w:val="8730B4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753"/>
    <w:rsid w:val="000B374A"/>
    <w:rsid w:val="00164571"/>
    <w:rsid w:val="00196CDF"/>
    <w:rsid w:val="002F0998"/>
    <w:rsid w:val="003113CD"/>
    <w:rsid w:val="0032018E"/>
    <w:rsid w:val="00354035"/>
    <w:rsid w:val="0038320C"/>
    <w:rsid w:val="00430EF7"/>
    <w:rsid w:val="00614C92"/>
    <w:rsid w:val="00694489"/>
    <w:rsid w:val="006B169B"/>
    <w:rsid w:val="006F278A"/>
    <w:rsid w:val="00724F53"/>
    <w:rsid w:val="007F5340"/>
    <w:rsid w:val="008039FE"/>
    <w:rsid w:val="008062D8"/>
    <w:rsid w:val="008178D2"/>
    <w:rsid w:val="00844B4D"/>
    <w:rsid w:val="00896C1F"/>
    <w:rsid w:val="009B368A"/>
    <w:rsid w:val="009B6C35"/>
    <w:rsid w:val="009F1E38"/>
    <w:rsid w:val="009F2246"/>
    <w:rsid w:val="00A74753"/>
    <w:rsid w:val="00AF08F4"/>
    <w:rsid w:val="00B64B6F"/>
    <w:rsid w:val="00B74111"/>
    <w:rsid w:val="00B81197"/>
    <w:rsid w:val="00BE5B7C"/>
    <w:rsid w:val="00CE1FF1"/>
    <w:rsid w:val="00D177F0"/>
    <w:rsid w:val="00D3507C"/>
    <w:rsid w:val="00DA10E9"/>
    <w:rsid w:val="00DC76AD"/>
    <w:rsid w:val="00DF6C96"/>
    <w:rsid w:val="00ED3FB4"/>
    <w:rsid w:val="00F706D0"/>
    <w:rsid w:val="00F85B95"/>
    <w:rsid w:val="00FD0CCB"/>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3A62"/>
  <w15:chartTrackingRefBased/>
  <w15:docId w15:val="{5535FDE6-3C80-9646-AC1A-8DADD7D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AD"/>
    <w:rPr>
      <w:rFonts w:ascii="Times New Roman" w:eastAsia="Times New Roman" w:hAnsi="Times New Roman" w:cs="Times New Roman"/>
      <w:lang w:eastAsia="en-GB"/>
    </w:rPr>
  </w:style>
  <w:style w:type="paragraph" w:styleId="Heading3">
    <w:name w:val="heading 3"/>
    <w:basedOn w:val="Normal"/>
    <w:link w:val="Heading3Char"/>
    <w:uiPriority w:val="9"/>
    <w:qFormat/>
    <w:rsid w:val="003113C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4753"/>
    <w:pPr>
      <w:spacing w:before="100" w:beforeAutospacing="1" w:after="100" w:afterAutospacing="1"/>
    </w:pPr>
  </w:style>
  <w:style w:type="character" w:styleId="Strong">
    <w:name w:val="Strong"/>
    <w:basedOn w:val="DefaultParagraphFont"/>
    <w:uiPriority w:val="22"/>
    <w:qFormat/>
    <w:rsid w:val="00A74753"/>
    <w:rPr>
      <w:b/>
      <w:bCs/>
    </w:rPr>
  </w:style>
  <w:style w:type="character" w:styleId="Hyperlink">
    <w:name w:val="Hyperlink"/>
    <w:basedOn w:val="DefaultParagraphFont"/>
    <w:uiPriority w:val="99"/>
    <w:unhideWhenUsed/>
    <w:rsid w:val="00A74753"/>
    <w:rPr>
      <w:color w:val="0000FF"/>
      <w:u w:val="single"/>
    </w:rPr>
  </w:style>
  <w:style w:type="character" w:styleId="UnresolvedMention">
    <w:name w:val="Unresolved Mention"/>
    <w:basedOn w:val="DefaultParagraphFont"/>
    <w:uiPriority w:val="99"/>
    <w:semiHidden/>
    <w:unhideWhenUsed/>
    <w:rsid w:val="00A74753"/>
    <w:rPr>
      <w:color w:val="605E5C"/>
      <w:shd w:val="clear" w:color="auto" w:fill="E1DFDD"/>
    </w:rPr>
  </w:style>
  <w:style w:type="character" w:styleId="FollowedHyperlink">
    <w:name w:val="FollowedHyperlink"/>
    <w:basedOn w:val="DefaultParagraphFont"/>
    <w:uiPriority w:val="99"/>
    <w:semiHidden/>
    <w:unhideWhenUsed/>
    <w:rsid w:val="00A74753"/>
    <w:rPr>
      <w:color w:val="954F72" w:themeColor="followedHyperlink"/>
      <w:u w:val="single"/>
    </w:rPr>
  </w:style>
  <w:style w:type="table" w:styleId="TableGrid">
    <w:name w:val="Table Grid"/>
    <w:basedOn w:val="TableNormal"/>
    <w:uiPriority w:val="39"/>
    <w:rsid w:val="00A74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74753"/>
    <w:rPr>
      <w:i/>
      <w:iCs/>
    </w:rPr>
  </w:style>
  <w:style w:type="character" w:customStyle="1" w:styleId="Heading3Char">
    <w:name w:val="Heading 3 Char"/>
    <w:basedOn w:val="DefaultParagraphFont"/>
    <w:link w:val="Heading3"/>
    <w:uiPriority w:val="9"/>
    <w:rsid w:val="003113CD"/>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3113CD"/>
    <w:pPr>
      <w:tabs>
        <w:tab w:val="center" w:pos="4513"/>
        <w:tab w:val="right" w:pos="9026"/>
      </w:tabs>
    </w:pPr>
  </w:style>
  <w:style w:type="character" w:customStyle="1" w:styleId="HeaderChar">
    <w:name w:val="Header Char"/>
    <w:basedOn w:val="DefaultParagraphFont"/>
    <w:link w:val="Header"/>
    <w:uiPriority w:val="99"/>
    <w:rsid w:val="003113CD"/>
    <w:rPr>
      <w:rFonts w:ascii="Times New Roman" w:eastAsia="Times New Roman" w:hAnsi="Times New Roman" w:cs="Times New Roman"/>
      <w:lang w:eastAsia="en-GB"/>
    </w:rPr>
  </w:style>
  <w:style w:type="paragraph" w:styleId="Footer">
    <w:name w:val="footer"/>
    <w:basedOn w:val="Normal"/>
    <w:link w:val="FooterChar"/>
    <w:uiPriority w:val="99"/>
    <w:unhideWhenUsed/>
    <w:rsid w:val="003113CD"/>
    <w:pPr>
      <w:tabs>
        <w:tab w:val="center" w:pos="4513"/>
        <w:tab w:val="right" w:pos="9026"/>
      </w:tabs>
    </w:pPr>
  </w:style>
  <w:style w:type="character" w:customStyle="1" w:styleId="FooterChar">
    <w:name w:val="Footer Char"/>
    <w:basedOn w:val="DefaultParagraphFont"/>
    <w:link w:val="Footer"/>
    <w:uiPriority w:val="99"/>
    <w:rsid w:val="003113CD"/>
    <w:rPr>
      <w:rFonts w:ascii="Times New Roman" w:eastAsia="Times New Roman" w:hAnsi="Times New Roman" w:cs="Times New Roman"/>
      <w:lang w:eastAsia="en-GB"/>
    </w:rPr>
  </w:style>
  <w:style w:type="paragraph" w:styleId="Revision">
    <w:name w:val="Revision"/>
    <w:hidden/>
    <w:uiPriority w:val="99"/>
    <w:semiHidden/>
    <w:rsid w:val="00D3507C"/>
    <w:rPr>
      <w:rFonts w:ascii="Times New Roman" w:eastAsia="Times New Roman" w:hAnsi="Times New Roman" w:cs="Times New Roman"/>
      <w:lang w:eastAsia="en-GB"/>
    </w:rPr>
  </w:style>
  <w:style w:type="paragraph" w:styleId="ListParagraph">
    <w:name w:val="List Paragraph"/>
    <w:basedOn w:val="Normal"/>
    <w:uiPriority w:val="34"/>
    <w:qFormat/>
    <w:rsid w:val="00BE5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95206">
      <w:bodyDiv w:val="1"/>
      <w:marLeft w:val="0"/>
      <w:marRight w:val="0"/>
      <w:marTop w:val="0"/>
      <w:marBottom w:val="0"/>
      <w:divBdr>
        <w:top w:val="none" w:sz="0" w:space="0" w:color="auto"/>
        <w:left w:val="none" w:sz="0" w:space="0" w:color="auto"/>
        <w:bottom w:val="none" w:sz="0" w:space="0" w:color="auto"/>
        <w:right w:val="none" w:sz="0" w:space="0" w:color="auto"/>
      </w:divBdr>
    </w:div>
    <w:div w:id="498738132">
      <w:bodyDiv w:val="1"/>
      <w:marLeft w:val="0"/>
      <w:marRight w:val="0"/>
      <w:marTop w:val="0"/>
      <w:marBottom w:val="0"/>
      <w:divBdr>
        <w:top w:val="none" w:sz="0" w:space="0" w:color="auto"/>
        <w:left w:val="none" w:sz="0" w:space="0" w:color="auto"/>
        <w:bottom w:val="none" w:sz="0" w:space="0" w:color="auto"/>
        <w:right w:val="none" w:sz="0" w:space="0" w:color="auto"/>
      </w:divBdr>
    </w:div>
    <w:div w:id="529075381">
      <w:bodyDiv w:val="1"/>
      <w:marLeft w:val="0"/>
      <w:marRight w:val="0"/>
      <w:marTop w:val="0"/>
      <w:marBottom w:val="0"/>
      <w:divBdr>
        <w:top w:val="none" w:sz="0" w:space="0" w:color="auto"/>
        <w:left w:val="none" w:sz="0" w:space="0" w:color="auto"/>
        <w:bottom w:val="none" w:sz="0" w:space="0" w:color="auto"/>
        <w:right w:val="none" w:sz="0" w:space="0" w:color="auto"/>
      </w:divBdr>
      <w:divsChild>
        <w:div w:id="507909052">
          <w:marLeft w:val="0"/>
          <w:marRight w:val="0"/>
          <w:marTop w:val="0"/>
          <w:marBottom w:val="0"/>
          <w:divBdr>
            <w:top w:val="none" w:sz="0" w:space="0" w:color="auto"/>
            <w:left w:val="none" w:sz="0" w:space="0" w:color="auto"/>
            <w:bottom w:val="none" w:sz="0" w:space="0" w:color="auto"/>
            <w:right w:val="none" w:sz="0" w:space="0" w:color="auto"/>
          </w:divBdr>
        </w:div>
      </w:divsChild>
    </w:div>
    <w:div w:id="623848520">
      <w:bodyDiv w:val="1"/>
      <w:marLeft w:val="0"/>
      <w:marRight w:val="0"/>
      <w:marTop w:val="0"/>
      <w:marBottom w:val="0"/>
      <w:divBdr>
        <w:top w:val="none" w:sz="0" w:space="0" w:color="auto"/>
        <w:left w:val="none" w:sz="0" w:space="0" w:color="auto"/>
        <w:bottom w:val="none" w:sz="0" w:space="0" w:color="auto"/>
        <w:right w:val="none" w:sz="0" w:space="0" w:color="auto"/>
      </w:divBdr>
    </w:div>
    <w:div w:id="679966513">
      <w:bodyDiv w:val="1"/>
      <w:marLeft w:val="0"/>
      <w:marRight w:val="0"/>
      <w:marTop w:val="0"/>
      <w:marBottom w:val="0"/>
      <w:divBdr>
        <w:top w:val="none" w:sz="0" w:space="0" w:color="auto"/>
        <w:left w:val="none" w:sz="0" w:space="0" w:color="auto"/>
        <w:bottom w:val="none" w:sz="0" w:space="0" w:color="auto"/>
        <w:right w:val="none" w:sz="0" w:space="0" w:color="auto"/>
      </w:divBdr>
    </w:div>
    <w:div w:id="716783256">
      <w:bodyDiv w:val="1"/>
      <w:marLeft w:val="0"/>
      <w:marRight w:val="0"/>
      <w:marTop w:val="0"/>
      <w:marBottom w:val="0"/>
      <w:divBdr>
        <w:top w:val="none" w:sz="0" w:space="0" w:color="auto"/>
        <w:left w:val="none" w:sz="0" w:space="0" w:color="auto"/>
        <w:bottom w:val="none" w:sz="0" w:space="0" w:color="auto"/>
        <w:right w:val="none" w:sz="0" w:space="0" w:color="auto"/>
      </w:divBdr>
    </w:div>
    <w:div w:id="772937800">
      <w:bodyDiv w:val="1"/>
      <w:marLeft w:val="0"/>
      <w:marRight w:val="0"/>
      <w:marTop w:val="0"/>
      <w:marBottom w:val="0"/>
      <w:divBdr>
        <w:top w:val="none" w:sz="0" w:space="0" w:color="auto"/>
        <w:left w:val="none" w:sz="0" w:space="0" w:color="auto"/>
        <w:bottom w:val="none" w:sz="0" w:space="0" w:color="auto"/>
        <w:right w:val="none" w:sz="0" w:space="0" w:color="auto"/>
      </w:divBdr>
    </w:div>
    <w:div w:id="870147900">
      <w:bodyDiv w:val="1"/>
      <w:marLeft w:val="0"/>
      <w:marRight w:val="0"/>
      <w:marTop w:val="0"/>
      <w:marBottom w:val="0"/>
      <w:divBdr>
        <w:top w:val="none" w:sz="0" w:space="0" w:color="auto"/>
        <w:left w:val="none" w:sz="0" w:space="0" w:color="auto"/>
        <w:bottom w:val="none" w:sz="0" w:space="0" w:color="auto"/>
        <w:right w:val="none" w:sz="0" w:space="0" w:color="auto"/>
      </w:divBdr>
    </w:div>
    <w:div w:id="1151674427">
      <w:bodyDiv w:val="1"/>
      <w:marLeft w:val="0"/>
      <w:marRight w:val="0"/>
      <w:marTop w:val="0"/>
      <w:marBottom w:val="0"/>
      <w:divBdr>
        <w:top w:val="none" w:sz="0" w:space="0" w:color="auto"/>
        <w:left w:val="none" w:sz="0" w:space="0" w:color="auto"/>
        <w:bottom w:val="none" w:sz="0" w:space="0" w:color="auto"/>
        <w:right w:val="none" w:sz="0" w:space="0" w:color="auto"/>
      </w:divBdr>
    </w:div>
    <w:div w:id="1363164726">
      <w:bodyDiv w:val="1"/>
      <w:marLeft w:val="0"/>
      <w:marRight w:val="0"/>
      <w:marTop w:val="0"/>
      <w:marBottom w:val="0"/>
      <w:divBdr>
        <w:top w:val="none" w:sz="0" w:space="0" w:color="auto"/>
        <w:left w:val="none" w:sz="0" w:space="0" w:color="auto"/>
        <w:bottom w:val="none" w:sz="0" w:space="0" w:color="auto"/>
        <w:right w:val="none" w:sz="0" w:space="0" w:color="auto"/>
      </w:divBdr>
    </w:div>
    <w:div w:id="1482380505">
      <w:bodyDiv w:val="1"/>
      <w:marLeft w:val="0"/>
      <w:marRight w:val="0"/>
      <w:marTop w:val="0"/>
      <w:marBottom w:val="0"/>
      <w:divBdr>
        <w:top w:val="none" w:sz="0" w:space="0" w:color="auto"/>
        <w:left w:val="none" w:sz="0" w:space="0" w:color="auto"/>
        <w:bottom w:val="none" w:sz="0" w:space="0" w:color="auto"/>
        <w:right w:val="none" w:sz="0" w:space="0" w:color="auto"/>
      </w:divBdr>
    </w:div>
    <w:div w:id="1547914429">
      <w:bodyDiv w:val="1"/>
      <w:marLeft w:val="0"/>
      <w:marRight w:val="0"/>
      <w:marTop w:val="0"/>
      <w:marBottom w:val="0"/>
      <w:divBdr>
        <w:top w:val="none" w:sz="0" w:space="0" w:color="auto"/>
        <w:left w:val="none" w:sz="0" w:space="0" w:color="auto"/>
        <w:bottom w:val="none" w:sz="0" w:space="0" w:color="auto"/>
        <w:right w:val="none" w:sz="0" w:space="0" w:color="auto"/>
      </w:divBdr>
    </w:div>
    <w:div w:id="1575435618">
      <w:bodyDiv w:val="1"/>
      <w:marLeft w:val="0"/>
      <w:marRight w:val="0"/>
      <w:marTop w:val="0"/>
      <w:marBottom w:val="0"/>
      <w:divBdr>
        <w:top w:val="none" w:sz="0" w:space="0" w:color="auto"/>
        <w:left w:val="none" w:sz="0" w:space="0" w:color="auto"/>
        <w:bottom w:val="none" w:sz="0" w:space="0" w:color="auto"/>
        <w:right w:val="none" w:sz="0" w:space="0" w:color="auto"/>
      </w:divBdr>
    </w:div>
    <w:div w:id="1802068795">
      <w:bodyDiv w:val="1"/>
      <w:marLeft w:val="0"/>
      <w:marRight w:val="0"/>
      <w:marTop w:val="0"/>
      <w:marBottom w:val="0"/>
      <w:divBdr>
        <w:top w:val="none" w:sz="0" w:space="0" w:color="auto"/>
        <w:left w:val="none" w:sz="0" w:space="0" w:color="auto"/>
        <w:bottom w:val="none" w:sz="0" w:space="0" w:color="auto"/>
        <w:right w:val="none" w:sz="0" w:space="0" w:color="auto"/>
      </w:divBdr>
    </w:div>
    <w:div w:id="195115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unimelb.edu.au/__data/assets/pdf_file/0007/471274/Writing_an_Abstract_Update_051112.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udents.unimelb.edu.au/academic-skills/explore-our-resources/research-techniques/writing-an-abstract" TargetMode="External"/><Relationship Id="rId12" Type="http://schemas.openxmlformats.org/officeDocument/2006/relationships/hyperlink" Target="https://mspgh.unimelb.edu.au/centres-institutes/centre-for-health-equity/research-group/ieh/roadmap/conference/NATSIEHC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spgh.unimelb.edu.au/centres-institutes/centre-for-health-equity/research-group/ieh/roadmap/conference/NATSIEHC202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spgh.unimelb.edu.au/centres-institutes/centre-for-health-equity/research-group/ieh/roadmap/conference/NATSIEHC2022" TargetMode="External"/><Relationship Id="rId4" Type="http://schemas.openxmlformats.org/officeDocument/2006/relationships/webSettings" Target="webSettings.xml"/><Relationship Id="rId9" Type="http://schemas.openxmlformats.org/officeDocument/2006/relationships/hyperlink" Target="mailto:guy.gillor@unimelb.edu.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Ferguson</dc:creator>
  <cp:keywords/>
  <dc:description/>
  <cp:lastModifiedBy>Guy Gillor</cp:lastModifiedBy>
  <cp:revision>3</cp:revision>
  <dcterms:created xsi:type="dcterms:W3CDTF">2022-02-08T03:11:00Z</dcterms:created>
  <dcterms:modified xsi:type="dcterms:W3CDTF">2022-02-08T03:19:00Z</dcterms:modified>
</cp:coreProperties>
</file>