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710B48" w14:textId="77777777" w:rsidR="00EF42E7" w:rsidRPr="00584BCB" w:rsidRDefault="000F73EA" w:rsidP="001C3592">
      <w:pPr>
        <w:pStyle w:val="MajorHeading"/>
        <w:tabs>
          <w:tab w:val="left" w:pos="795"/>
        </w:tabs>
        <w:suppressAutoHyphens/>
        <w:rPr>
          <w:rFonts w:ascii="Rubik" w:hAnsi="Rubik" w:cstheme="minorBidi"/>
          <w:b w:val="0"/>
          <w:bCs w:val="0"/>
          <w:color w:val="000000" w:themeColor="text1"/>
          <w:spacing w:val="0"/>
          <w:sz w:val="22"/>
          <w:szCs w:val="22"/>
          <w:lang w:val="en-AU"/>
        </w:rPr>
      </w:pPr>
      <w:r w:rsidRPr="00584BCB">
        <w:rPr>
          <w:noProof/>
          <w:color w:val="000000" w:themeColor="text1"/>
          <w:lang w:val="en-AU" w:eastAsia="en-AU"/>
        </w:rPr>
        <mc:AlternateContent>
          <mc:Choice Requires="wps">
            <w:drawing>
              <wp:anchor distT="0" distB="0" distL="114300" distR="114300" simplePos="0" relativeHeight="251658242" behindDoc="1" locked="0" layoutInCell="1" allowOverlap="1" wp14:anchorId="182A4067" wp14:editId="51289522">
                <wp:simplePos x="0" y="0"/>
                <wp:positionH relativeFrom="column">
                  <wp:posOffset>-1270000</wp:posOffset>
                </wp:positionH>
                <wp:positionV relativeFrom="paragraph">
                  <wp:posOffset>-789940</wp:posOffset>
                </wp:positionV>
                <wp:extent cx="8818880" cy="11068334"/>
                <wp:effectExtent l="0" t="0" r="0" b="6350"/>
                <wp:wrapNone/>
                <wp:docPr id="26" name="Rectangle 26"/>
                <wp:cNvGraphicFramePr/>
                <a:graphic xmlns:a="http://schemas.openxmlformats.org/drawingml/2006/main">
                  <a:graphicData uri="http://schemas.microsoft.com/office/word/2010/wordprocessingShape">
                    <wps:wsp>
                      <wps:cNvSpPr/>
                      <wps:spPr>
                        <a:xfrm>
                          <a:off x="0" y="0"/>
                          <a:ext cx="8818880" cy="11068334"/>
                        </a:xfrm>
                        <a:prstGeom prst="rect">
                          <a:avLst/>
                        </a:prstGeom>
                        <a:solidFill>
                          <a:srgbClr val="7EA4A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B7BCAF" w14:textId="77777777" w:rsidR="008D7089" w:rsidRDefault="008D7089" w:rsidP="001C3592">
                            <w:pPr>
                              <w:suppressAutoHyphens/>
                              <w:autoSpaceDE w:val="0"/>
                              <w:autoSpaceDN w:val="0"/>
                              <w:adjustRightInd w:val="0"/>
                              <w:spacing w:after="340" w:line="560" w:lineRule="atLeast"/>
                              <w:ind w:left="1560"/>
                              <w:textAlignment w:val="center"/>
                              <w:rPr>
                                <w:rFonts w:ascii="Rubik" w:eastAsia="Arial Unicode MS" w:hAnsi="Rubik" w:cs="Rubik Medium"/>
                                <w:b/>
                                <w:color w:val="FFFFFF" w:themeColor="background1"/>
                                <w:spacing w:val="5"/>
                                <w:sz w:val="72"/>
                                <w:szCs w:val="72"/>
                                <w:lang w:val="en-US"/>
                              </w:rPr>
                            </w:pPr>
                          </w:p>
                          <w:p w14:paraId="248DE983" w14:textId="77777777" w:rsidR="008D7089" w:rsidRDefault="008D7089" w:rsidP="001C3592">
                            <w:pPr>
                              <w:suppressAutoHyphens/>
                              <w:autoSpaceDE w:val="0"/>
                              <w:autoSpaceDN w:val="0"/>
                              <w:adjustRightInd w:val="0"/>
                              <w:spacing w:after="340" w:line="560" w:lineRule="atLeast"/>
                              <w:ind w:left="1560"/>
                              <w:textAlignment w:val="center"/>
                              <w:rPr>
                                <w:rFonts w:ascii="Rubik" w:eastAsia="Arial Unicode MS" w:hAnsi="Rubik" w:cs="Rubik Medium"/>
                                <w:b/>
                                <w:color w:val="FFFFFF" w:themeColor="background1"/>
                                <w:spacing w:val="5"/>
                                <w:sz w:val="72"/>
                                <w:szCs w:val="72"/>
                                <w:lang w:val="en-US"/>
                              </w:rPr>
                            </w:pPr>
                          </w:p>
                          <w:p w14:paraId="307FFE1F" w14:textId="7FF8B153" w:rsidR="008D7089" w:rsidRPr="006A7328" w:rsidRDefault="008D7089" w:rsidP="00E40459">
                            <w:pPr>
                              <w:suppressAutoHyphens/>
                              <w:autoSpaceDE w:val="0"/>
                              <w:autoSpaceDN w:val="0"/>
                              <w:adjustRightInd w:val="0"/>
                              <w:spacing w:after="340" w:line="560" w:lineRule="atLeast"/>
                              <w:ind w:left="1560" w:right="1209"/>
                              <w:textAlignment w:val="center"/>
                              <w:rPr>
                                <w:rFonts w:ascii="Rubik" w:eastAsia="Arial Unicode MS" w:hAnsi="Rubik" w:cs="Rubik Medium"/>
                                <w:b/>
                                <w:color w:val="FFFFFF" w:themeColor="background1"/>
                                <w:spacing w:val="5"/>
                                <w:sz w:val="72"/>
                                <w:szCs w:val="72"/>
                                <w:lang w:val="en-US"/>
                              </w:rPr>
                            </w:pPr>
                            <w:r w:rsidRPr="006A7328">
                              <w:rPr>
                                <w:rFonts w:ascii="Rubik" w:eastAsia="Arial Unicode MS" w:hAnsi="Rubik" w:cs="Rubik Medium"/>
                                <w:b/>
                                <w:color w:val="FFFFFF" w:themeColor="background1"/>
                                <w:spacing w:val="5"/>
                                <w:sz w:val="72"/>
                                <w:szCs w:val="72"/>
                                <w:lang w:val="en-US"/>
                              </w:rPr>
                              <w:t>Interventions for employment participation</w:t>
                            </w:r>
                            <w:r w:rsidRPr="006A7328">
                              <w:rPr>
                                <w:rFonts w:ascii="Rubik" w:eastAsia="Arial Unicode MS" w:hAnsi="Rubik" w:cs="Rubik Medium"/>
                                <w:b/>
                                <w:color w:val="FFFFFF" w:themeColor="background1"/>
                                <w:spacing w:val="5"/>
                                <w:sz w:val="72"/>
                                <w:szCs w:val="72"/>
                                <w:lang w:val="en-US"/>
                              </w:rPr>
                              <w:br/>
                              <w:t xml:space="preserve">in people with autism, intellectual disability, </w:t>
                            </w:r>
                            <w:r w:rsidRPr="006A7328">
                              <w:rPr>
                                <w:rFonts w:ascii="Rubik" w:eastAsia="Arial Unicode MS" w:hAnsi="Rubik" w:cs="Rubik Medium"/>
                                <w:b/>
                                <w:color w:val="FFFFFF" w:themeColor="background1"/>
                                <w:spacing w:val="5"/>
                                <w:sz w:val="72"/>
                                <w:szCs w:val="72"/>
                                <w:lang w:val="en-US"/>
                              </w:rPr>
                              <w:br/>
                              <w:t xml:space="preserve">and/or psychosocial disability </w:t>
                            </w:r>
                          </w:p>
                          <w:p w14:paraId="495C9CF1" w14:textId="0F659616" w:rsidR="008D7089" w:rsidRPr="001C3592" w:rsidRDefault="008D7089" w:rsidP="001C3592">
                            <w:pPr>
                              <w:suppressAutoHyphens/>
                              <w:autoSpaceDE w:val="0"/>
                              <w:autoSpaceDN w:val="0"/>
                              <w:adjustRightInd w:val="0"/>
                              <w:spacing w:after="340" w:line="560" w:lineRule="atLeast"/>
                              <w:ind w:left="1560"/>
                              <w:textAlignment w:val="center"/>
                              <w:rPr>
                                <w:rFonts w:ascii="Rubik Medium" w:hAnsi="Rubik Medium" w:cs="Rubik Medium"/>
                                <w:b/>
                                <w:bCs/>
                                <w:color w:val="FFFFFF" w:themeColor="background1"/>
                                <w:spacing w:val="5"/>
                                <w:sz w:val="52"/>
                                <w:szCs w:val="52"/>
                                <w:lang w:val="en-US"/>
                              </w:rPr>
                            </w:pPr>
                            <w:r w:rsidRPr="00E26140">
                              <w:rPr>
                                <w:rFonts w:ascii="Rubik Medium" w:hAnsi="Rubik Medium" w:cs="Rubik Medium"/>
                                <w:b/>
                                <w:bCs/>
                                <w:noProof/>
                                <w:color w:val="000000"/>
                                <w:sz w:val="72"/>
                                <w:szCs w:val="72"/>
                                <w:lang w:eastAsia="en-AU"/>
                              </w:rPr>
                              <w:drawing>
                                <wp:inline distT="0" distB="0" distL="0" distR="0" wp14:anchorId="473B8E40" wp14:editId="52CD194C">
                                  <wp:extent cx="4546600" cy="8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46600" cy="88900"/>
                                          </a:xfrm>
                                          <a:prstGeom prst="rect">
                                            <a:avLst/>
                                          </a:prstGeom>
                                        </pic:spPr>
                                      </pic:pic>
                                    </a:graphicData>
                                  </a:graphic>
                                </wp:inline>
                              </w:drawing>
                            </w:r>
                          </w:p>
                          <w:p w14:paraId="323F1A18" w14:textId="5BA436C1"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45D56CDE" w14:textId="27BE69ED"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4EF26471" w14:textId="77777777"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2F1D7853" w14:textId="5F24C2C3"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34EF2322" w14:textId="0912CEE3" w:rsidR="006162EA" w:rsidRDefault="00C417A4" w:rsidP="006162EA">
                            <w:pPr>
                              <w:pStyle w:val="MajorHeading"/>
                              <w:suppressAutoHyphens/>
                              <w:spacing w:after="120"/>
                              <w:ind w:left="1701"/>
                              <w:rPr>
                                <w:rFonts w:ascii="Rubik" w:hAnsi="Rubik" w:cs="Rubik Medium"/>
                                <w:color w:val="FFFFFF" w:themeColor="background1"/>
                                <w:spacing w:val="0"/>
                                <w:sz w:val="32"/>
                                <w:szCs w:val="32"/>
                              </w:rPr>
                            </w:pPr>
                            <w:r>
                              <w:rPr>
                                <w:rFonts w:ascii="Rubik" w:hAnsi="Rubik" w:cs="Rubik Medium"/>
                                <w:color w:val="FFFFFF" w:themeColor="background1"/>
                                <w:spacing w:val="0"/>
                                <w:sz w:val="32"/>
                                <w:szCs w:val="32"/>
                              </w:rPr>
                              <w:br/>
                            </w:r>
                            <w:r w:rsidR="008D7089" w:rsidRPr="00A42882">
                              <w:rPr>
                                <w:rFonts w:ascii="Rubik" w:hAnsi="Rubik" w:cs="Rubik Medium"/>
                                <w:color w:val="FFFFFF" w:themeColor="background1"/>
                                <w:spacing w:val="0"/>
                                <w:sz w:val="32"/>
                                <w:szCs w:val="32"/>
                              </w:rPr>
                              <w:t>The University of Melbourne</w:t>
                            </w:r>
                            <w:r>
                              <w:rPr>
                                <w:rFonts w:ascii="Rubik" w:hAnsi="Rubik" w:cs="Rubik Medium"/>
                                <w:color w:val="FFFFFF" w:themeColor="background1"/>
                                <w:spacing w:val="0"/>
                                <w:sz w:val="32"/>
                                <w:szCs w:val="32"/>
                              </w:rPr>
                              <w:br/>
                            </w:r>
                            <w:r w:rsidR="008D7089" w:rsidRPr="00A42882">
                              <w:rPr>
                                <w:rFonts w:ascii="Rubik" w:hAnsi="Rubik" w:cs="Rubik Medium"/>
                                <w:color w:val="FFFFFF" w:themeColor="background1"/>
                                <w:spacing w:val="0"/>
                                <w:sz w:val="32"/>
                                <w:szCs w:val="32"/>
                              </w:rPr>
                              <w:t>UNSW Canberra</w:t>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p>
                          <w:p w14:paraId="1496E71E" w14:textId="53A3EA9A" w:rsidR="008D7089" w:rsidRPr="006162EA" w:rsidRDefault="008D7089" w:rsidP="006162EA">
                            <w:pPr>
                              <w:pStyle w:val="MajorHeading"/>
                              <w:suppressAutoHyphens/>
                              <w:spacing w:after="120"/>
                              <w:ind w:left="1701"/>
                              <w:rPr>
                                <w:rFonts w:ascii="Rubik" w:hAnsi="Rubik" w:cs="Rubik Medium"/>
                                <w:color w:val="000000"/>
                                <w:spacing w:val="0"/>
                                <w:sz w:val="22"/>
                                <w:szCs w:val="22"/>
                              </w:rPr>
                            </w:pPr>
                            <w:r w:rsidRPr="00A42882">
                              <w:rPr>
                                <w:rFonts w:ascii="Rubik" w:hAnsi="Rubik" w:cs="Rubik Medium"/>
                                <w:color w:val="FFFFFF" w:themeColor="background1"/>
                                <w:spacing w:val="0"/>
                                <w:sz w:val="32"/>
                                <w:szCs w:val="32"/>
                              </w:rPr>
                              <w:br/>
                            </w:r>
                          </w:p>
                          <w:p w14:paraId="0BCFD305" w14:textId="699EBF9D"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0A29DF27" w14:textId="03628AFA"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767A47F2" w14:textId="4C2718C8"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2EE92E4" w14:textId="6585ED52"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5DEE6157"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2AF8203"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21233787"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6AABB6F2"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AC93B63"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2A4067" id="Rectangle 26" o:spid="_x0000_s1026" style="position:absolute;margin-left:-100pt;margin-top:-62.2pt;width:694.4pt;height:87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" fillcolor="#7ea4a4" stroked="f" strokeweight="1pt">
                <v:textbox>
                  <w:txbxContent>
                    <w:p w14:paraId="02B7BCAF" w14:textId="77777777" w:rsidR="008D7089" w:rsidRDefault="008D7089" w:rsidP="001C3592">
                      <w:pPr>
                        <w:suppressAutoHyphens/>
                        <w:autoSpaceDE w:val="0"/>
                        <w:autoSpaceDN w:val="0"/>
                        <w:adjustRightInd w:val="0"/>
                        <w:spacing w:after="340" w:line="560" w:lineRule="atLeast"/>
                        <w:ind w:left="1560"/>
                        <w:textAlignment w:val="center"/>
                        <w:rPr>
                          <w:rFonts w:ascii="Rubik" w:eastAsia="Arial Unicode MS" w:hAnsi="Rubik" w:cs="Rubik Medium"/>
                          <w:b/>
                          <w:color w:val="FFFFFF" w:themeColor="background1"/>
                          <w:spacing w:val="5"/>
                          <w:sz w:val="72"/>
                          <w:szCs w:val="72"/>
                          <w:lang w:val="en-US"/>
                        </w:rPr>
                      </w:pPr>
                    </w:p>
                    <w:p w14:paraId="248DE983" w14:textId="77777777" w:rsidR="008D7089" w:rsidRDefault="008D7089" w:rsidP="001C3592">
                      <w:pPr>
                        <w:suppressAutoHyphens/>
                        <w:autoSpaceDE w:val="0"/>
                        <w:autoSpaceDN w:val="0"/>
                        <w:adjustRightInd w:val="0"/>
                        <w:spacing w:after="340" w:line="560" w:lineRule="atLeast"/>
                        <w:ind w:left="1560"/>
                        <w:textAlignment w:val="center"/>
                        <w:rPr>
                          <w:rFonts w:ascii="Rubik" w:eastAsia="Arial Unicode MS" w:hAnsi="Rubik" w:cs="Rubik Medium"/>
                          <w:b/>
                          <w:color w:val="FFFFFF" w:themeColor="background1"/>
                          <w:spacing w:val="5"/>
                          <w:sz w:val="72"/>
                          <w:szCs w:val="72"/>
                          <w:lang w:val="en-US"/>
                        </w:rPr>
                      </w:pPr>
                    </w:p>
                    <w:p w14:paraId="307FFE1F" w14:textId="7FF8B153" w:rsidR="008D7089" w:rsidRPr="006A7328" w:rsidRDefault="008D7089" w:rsidP="00E40459">
                      <w:pPr>
                        <w:suppressAutoHyphens/>
                        <w:autoSpaceDE w:val="0"/>
                        <w:autoSpaceDN w:val="0"/>
                        <w:adjustRightInd w:val="0"/>
                        <w:spacing w:after="340" w:line="560" w:lineRule="atLeast"/>
                        <w:ind w:left="1560" w:right="1209"/>
                        <w:textAlignment w:val="center"/>
                        <w:rPr>
                          <w:rFonts w:ascii="Rubik" w:eastAsia="Arial Unicode MS" w:hAnsi="Rubik" w:cs="Rubik Medium"/>
                          <w:b/>
                          <w:color w:val="FFFFFF" w:themeColor="background1"/>
                          <w:spacing w:val="5"/>
                          <w:sz w:val="72"/>
                          <w:szCs w:val="72"/>
                          <w:lang w:val="en-US"/>
                        </w:rPr>
                      </w:pPr>
                      <w:r w:rsidRPr="006A7328">
                        <w:rPr>
                          <w:rFonts w:ascii="Rubik" w:eastAsia="Arial Unicode MS" w:hAnsi="Rubik" w:cs="Rubik Medium"/>
                          <w:b/>
                          <w:color w:val="FFFFFF" w:themeColor="background1"/>
                          <w:spacing w:val="5"/>
                          <w:sz w:val="72"/>
                          <w:szCs w:val="72"/>
                          <w:lang w:val="en-US"/>
                        </w:rPr>
                        <w:t>Interventions for employment participation</w:t>
                      </w:r>
                      <w:r w:rsidRPr="006A7328">
                        <w:rPr>
                          <w:rFonts w:ascii="Rubik" w:eastAsia="Arial Unicode MS" w:hAnsi="Rubik" w:cs="Rubik Medium"/>
                          <w:b/>
                          <w:color w:val="FFFFFF" w:themeColor="background1"/>
                          <w:spacing w:val="5"/>
                          <w:sz w:val="72"/>
                          <w:szCs w:val="72"/>
                          <w:lang w:val="en-US"/>
                        </w:rPr>
                        <w:br/>
                        <w:t xml:space="preserve">in people with autism, intellectual disability, </w:t>
                      </w:r>
                      <w:r w:rsidRPr="006A7328">
                        <w:rPr>
                          <w:rFonts w:ascii="Rubik" w:eastAsia="Arial Unicode MS" w:hAnsi="Rubik" w:cs="Rubik Medium"/>
                          <w:b/>
                          <w:color w:val="FFFFFF" w:themeColor="background1"/>
                          <w:spacing w:val="5"/>
                          <w:sz w:val="72"/>
                          <w:szCs w:val="72"/>
                          <w:lang w:val="en-US"/>
                        </w:rPr>
                        <w:br/>
                        <w:t xml:space="preserve">and/or psychosocial disability </w:t>
                      </w:r>
                    </w:p>
                    <w:p w14:paraId="495C9CF1" w14:textId="0F659616" w:rsidR="008D7089" w:rsidRPr="001C3592" w:rsidRDefault="008D7089" w:rsidP="001C3592">
                      <w:pPr>
                        <w:suppressAutoHyphens/>
                        <w:autoSpaceDE w:val="0"/>
                        <w:autoSpaceDN w:val="0"/>
                        <w:adjustRightInd w:val="0"/>
                        <w:spacing w:after="340" w:line="560" w:lineRule="atLeast"/>
                        <w:ind w:left="1560"/>
                        <w:textAlignment w:val="center"/>
                        <w:rPr>
                          <w:rFonts w:ascii="Rubik Medium" w:hAnsi="Rubik Medium" w:cs="Rubik Medium"/>
                          <w:b/>
                          <w:bCs/>
                          <w:color w:val="FFFFFF" w:themeColor="background1"/>
                          <w:spacing w:val="5"/>
                          <w:sz w:val="52"/>
                          <w:szCs w:val="52"/>
                          <w:lang w:val="en-US"/>
                        </w:rPr>
                      </w:pPr>
                      <w:r w:rsidRPr="00E26140">
                        <w:rPr>
                          <w:rFonts w:ascii="Rubik Medium" w:hAnsi="Rubik Medium" w:cs="Rubik Medium"/>
                          <w:b/>
                          <w:bCs/>
                          <w:noProof/>
                          <w:color w:val="000000"/>
                          <w:sz w:val="72"/>
                          <w:szCs w:val="72"/>
                          <w:lang w:eastAsia="en-AU"/>
                        </w:rPr>
                        <w:drawing>
                          <wp:inline distT="0" distB="0" distL="0" distR="0" wp14:anchorId="473B8E40" wp14:editId="52CD194C">
                            <wp:extent cx="4546600" cy="889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6600" cy="88900"/>
                                    </a:xfrm>
                                    <a:prstGeom prst="rect">
                                      <a:avLst/>
                                    </a:prstGeom>
                                  </pic:spPr>
                                </pic:pic>
                              </a:graphicData>
                            </a:graphic>
                          </wp:inline>
                        </w:drawing>
                      </w:r>
                    </w:p>
                    <w:p w14:paraId="323F1A18" w14:textId="5BA436C1"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45D56CDE" w14:textId="27BE69ED"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4EF26471" w14:textId="77777777"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2F1D7853" w14:textId="5F24C2C3" w:rsidR="008D7089" w:rsidRDefault="008D7089" w:rsidP="001C3592">
                      <w:pPr>
                        <w:pStyle w:val="MajorHeading"/>
                        <w:suppressAutoHyphens/>
                        <w:ind w:left="1701"/>
                        <w:rPr>
                          <w:rFonts w:ascii="Rubik Medium" w:hAnsi="Rubik Medium" w:cs="Rubik Medium"/>
                          <w:b w:val="0"/>
                          <w:bCs w:val="0"/>
                          <w:color w:val="000000"/>
                          <w:spacing w:val="0"/>
                          <w:sz w:val="72"/>
                          <w:szCs w:val="72"/>
                        </w:rPr>
                      </w:pPr>
                    </w:p>
                    <w:p w14:paraId="34EF2322" w14:textId="0912CEE3" w:rsidR="006162EA" w:rsidRDefault="00C417A4" w:rsidP="006162EA">
                      <w:pPr>
                        <w:pStyle w:val="MajorHeading"/>
                        <w:suppressAutoHyphens/>
                        <w:spacing w:after="120"/>
                        <w:ind w:left="1701"/>
                        <w:rPr>
                          <w:rFonts w:ascii="Rubik" w:hAnsi="Rubik" w:cs="Rubik Medium"/>
                          <w:color w:val="FFFFFF" w:themeColor="background1"/>
                          <w:spacing w:val="0"/>
                          <w:sz w:val="32"/>
                          <w:szCs w:val="32"/>
                        </w:rPr>
                      </w:pPr>
                      <w:r>
                        <w:rPr>
                          <w:rFonts w:ascii="Rubik" w:hAnsi="Rubik" w:cs="Rubik Medium"/>
                          <w:color w:val="FFFFFF" w:themeColor="background1"/>
                          <w:spacing w:val="0"/>
                          <w:sz w:val="32"/>
                          <w:szCs w:val="32"/>
                        </w:rPr>
                        <w:br/>
                      </w:r>
                      <w:r w:rsidR="008D7089" w:rsidRPr="00A42882">
                        <w:rPr>
                          <w:rFonts w:ascii="Rubik" w:hAnsi="Rubik" w:cs="Rubik Medium"/>
                          <w:color w:val="FFFFFF" w:themeColor="background1"/>
                          <w:spacing w:val="0"/>
                          <w:sz w:val="32"/>
                          <w:szCs w:val="32"/>
                        </w:rPr>
                        <w:t>The University of Melbourne</w:t>
                      </w:r>
                      <w:r>
                        <w:rPr>
                          <w:rFonts w:ascii="Rubik" w:hAnsi="Rubik" w:cs="Rubik Medium"/>
                          <w:color w:val="FFFFFF" w:themeColor="background1"/>
                          <w:spacing w:val="0"/>
                          <w:sz w:val="32"/>
                          <w:szCs w:val="32"/>
                        </w:rPr>
                        <w:br/>
                      </w:r>
                      <w:r w:rsidR="008D7089" w:rsidRPr="00A42882">
                        <w:rPr>
                          <w:rFonts w:ascii="Rubik" w:hAnsi="Rubik" w:cs="Rubik Medium"/>
                          <w:color w:val="FFFFFF" w:themeColor="background1"/>
                          <w:spacing w:val="0"/>
                          <w:sz w:val="32"/>
                          <w:szCs w:val="32"/>
                        </w:rPr>
                        <w:t>UNSW Canberra</w:t>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r>
                        <w:rPr>
                          <w:rFonts w:ascii="Rubik" w:hAnsi="Rubik" w:cs="Rubik Medium"/>
                          <w:color w:val="FFFFFF" w:themeColor="background1"/>
                          <w:spacing w:val="0"/>
                          <w:sz w:val="32"/>
                          <w:szCs w:val="32"/>
                        </w:rPr>
                        <w:tab/>
                      </w:r>
                    </w:p>
                    <w:p w14:paraId="1496E71E" w14:textId="53A3EA9A" w:rsidR="008D7089" w:rsidRPr="006162EA" w:rsidRDefault="008D7089" w:rsidP="006162EA">
                      <w:pPr>
                        <w:pStyle w:val="MajorHeading"/>
                        <w:suppressAutoHyphens/>
                        <w:spacing w:after="120"/>
                        <w:ind w:left="1701"/>
                        <w:rPr>
                          <w:rFonts w:ascii="Rubik" w:hAnsi="Rubik" w:cs="Rubik Medium"/>
                          <w:color w:val="000000"/>
                          <w:spacing w:val="0"/>
                          <w:sz w:val="22"/>
                          <w:szCs w:val="22"/>
                        </w:rPr>
                      </w:pPr>
                      <w:r w:rsidRPr="00A42882">
                        <w:rPr>
                          <w:rFonts w:ascii="Rubik" w:hAnsi="Rubik" w:cs="Rubik Medium"/>
                          <w:color w:val="FFFFFF" w:themeColor="background1"/>
                          <w:spacing w:val="0"/>
                          <w:sz w:val="32"/>
                          <w:szCs w:val="32"/>
                        </w:rPr>
                        <w:br/>
                      </w:r>
                    </w:p>
                    <w:p w14:paraId="0BCFD305" w14:textId="699EBF9D"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0A29DF27" w14:textId="03628AFA"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767A47F2" w14:textId="4C2718C8"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2EE92E4" w14:textId="6585ED52"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5DEE6157"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2AF8203"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21233787"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6AABB6F2"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p w14:paraId="1AC93B63" w14:textId="77777777" w:rsidR="008D7089" w:rsidRDefault="008D7089" w:rsidP="001C3592">
                      <w:pPr>
                        <w:pStyle w:val="MajorHeading"/>
                        <w:suppressAutoHyphens/>
                        <w:ind w:left="1701"/>
                        <w:rPr>
                          <w:rFonts w:ascii="Rubik Medium" w:hAnsi="Rubik Medium" w:cs="Rubik Medium"/>
                          <w:b w:val="0"/>
                          <w:bCs w:val="0"/>
                          <w:color w:val="FFFFFF" w:themeColor="background1"/>
                          <w:spacing w:val="0"/>
                          <w:sz w:val="32"/>
                          <w:szCs w:val="32"/>
                        </w:rPr>
                      </w:pPr>
                    </w:p>
                  </w:txbxContent>
                </v:textbox>
              </v:rect>
            </w:pict>
          </mc:Fallback>
        </mc:AlternateContent>
      </w:r>
    </w:p>
    <w:sdt>
      <w:sdtPr>
        <w:rPr>
          <w:rFonts w:ascii="Rubik" w:eastAsiaTheme="minorEastAsia" w:hAnsi="Rubik" w:cstheme="minorBidi"/>
          <w:b w:val="0"/>
          <w:bCs/>
          <w:color w:val="000000" w:themeColor="text1"/>
          <w:sz w:val="22"/>
          <w:szCs w:val="22"/>
          <w:lang w:eastAsia="zh-CN"/>
        </w:rPr>
        <w:id w:val="1776977041"/>
        <w:docPartObj>
          <w:docPartGallery w:val="Cover Pages"/>
          <w:docPartUnique/>
        </w:docPartObj>
      </w:sdtPr>
      <w:sdtEndPr>
        <w:rPr>
          <w:bCs w:val="0"/>
        </w:rPr>
      </w:sdtEndPr>
      <w:sdtContent>
        <w:p w14:paraId="6F6F7150" w14:textId="52E92659" w:rsidR="00A82F64" w:rsidRPr="00584BCB" w:rsidRDefault="001C3592" w:rsidP="00EF42E7">
          <w:pPr>
            <w:pStyle w:val="TOCHeading"/>
            <w:rPr>
              <w:rFonts w:ascii="Rubik" w:hAnsi="Rubik"/>
              <w:color w:val="000000" w:themeColor="text1"/>
              <w:sz w:val="22"/>
            </w:rPr>
          </w:pPr>
          <w:r w:rsidRPr="00584BCB">
            <w:rPr>
              <w:rFonts w:cs="Rubik Medium"/>
              <w:b w:val="0"/>
              <w:bCs/>
              <w:noProof/>
              <w:color w:val="000000" w:themeColor="text1"/>
              <w:sz w:val="40"/>
              <w:szCs w:val="40"/>
              <w:lang w:eastAsia="en-AU"/>
            </w:rPr>
            <mc:AlternateContent>
              <mc:Choice Requires="wps">
                <w:drawing>
                  <wp:anchor distT="0" distB="0" distL="114300" distR="114300" simplePos="0" relativeHeight="251658243" behindDoc="0" locked="0" layoutInCell="1" allowOverlap="1" wp14:anchorId="7D355E9F" wp14:editId="17D413BC">
                    <wp:simplePos x="0" y="0"/>
                    <wp:positionH relativeFrom="column">
                      <wp:posOffset>-88900</wp:posOffset>
                    </wp:positionH>
                    <wp:positionV relativeFrom="paragraph">
                      <wp:posOffset>5067300</wp:posOffset>
                    </wp:positionV>
                    <wp:extent cx="2057400" cy="1663700"/>
                    <wp:effectExtent l="0" t="0" r="0" b="0"/>
                    <wp:wrapNone/>
                    <wp:docPr id="29" name="Rectangle 29"/>
                    <wp:cNvGraphicFramePr/>
                    <a:graphic xmlns:a="http://schemas.openxmlformats.org/drawingml/2006/main">
                      <a:graphicData uri="http://schemas.microsoft.com/office/word/2010/wordprocessingShape">
                        <wps:wsp>
                          <wps:cNvSpPr/>
                          <wps:spPr>
                            <a:xfrm>
                              <a:off x="0" y="0"/>
                              <a:ext cx="2057400" cy="1663700"/>
                            </a:xfrm>
                            <a:prstGeom prst="rect">
                              <a:avLst/>
                            </a:prstGeom>
                            <a:solidFill>
                              <a:srgbClr val="295D5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6DBB60" w14:textId="5D466103" w:rsidR="008D7089" w:rsidRPr="000F73EA" w:rsidRDefault="008D7089" w:rsidP="000F73EA">
                                <w:pPr>
                                  <w:jc w:val="center"/>
                                  <w:rPr>
                                    <w:rFonts w:ascii="Rubik Medium" w:hAnsi="Rubik Medium" w:cs="Rubik Medium"/>
                                    <w:b/>
                                    <w:bCs/>
                                    <w:color w:val="FFFFFF" w:themeColor="background1"/>
                                    <w:sz w:val="48"/>
                                    <w:szCs w:val="48"/>
                                  </w:rPr>
                                </w:pPr>
                                <w:r w:rsidRPr="000F73EA">
                                  <w:rPr>
                                    <w:rFonts w:ascii="Rubik Medium" w:hAnsi="Rubik Medium" w:cs="Rubik Medium"/>
                                    <w:b/>
                                    <w:bCs/>
                                    <w:color w:val="FFFFFF" w:themeColor="background1"/>
                                    <w:sz w:val="22"/>
                                  </w:rPr>
                                  <w:br/>
                                </w:r>
                                <w:r w:rsidRPr="00A42882">
                                  <w:rPr>
                                    <w:rFonts w:ascii="Rubik" w:hAnsi="Rubik" w:cs="Rubik Medium"/>
                                    <w:b/>
                                    <w:bCs/>
                                    <w:color w:val="FFFFFF" w:themeColor="background1"/>
                                    <w:sz w:val="48"/>
                                    <w:szCs w:val="48"/>
                                  </w:rPr>
                                  <w:t xml:space="preserve">Systematic </w:t>
                                </w:r>
                                <w:r w:rsidRPr="00A42882">
                                  <w:rPr>
                                    <w:rFonts w:ascii="Rubik" w:hAnsi="Rubik" w:cs="Rubik Medium"/>
                                    <w:b/>
                                    <w:bCs/>
                                    <w:color w:val="FFFFFF" w:themeColor="background1"/>
                                    <w:sz w:val="48"/>
                                    <w:szCs w:val="48"/>
                                  </w:rPr>
                                  <w:br/>
                                  <w:t>Literature</w:t>
                                </w:r>
                                <w:r w:rsidRPr="00A42882">
                                  <w:rPr>
                                    <w:rFonts w:ascii="Rubik" w:hAnsi="Rubik" w:cs="Rubik Medium"/>
                                    <w:b/>
                                    <w:bCs/>
                                    <w:color w:val="FFFFFF" w:themeColor="background1"/>
                                    <w:sz w:val="48"/>
                                    <w:szCs w:val="48"/>
                                  </w:rPr>
                                  <w:br/>
                                  <w:t>Review</w:t>
                                </w:r>
                                <w:r w:rsidRPr="00F56FE1">
                                  <w:rPr>
                                    <w:rFonts w:ascii="Rubik Medium" w:hAnsi="Rubik Medium" w:cs="Rubik Medium"/>
                                    <w:noProof/>
                                    <w:color w:val="000000"/>
                                    <w:sz w:val="72"/>
                                    <w:szCs w:val="72"/>
                                    <w:shd w:val="clear" w:color="auto" w:fill="FFFFFF" w:themeFill="background1"/>
                                    <w:lang w:eastAsia="en-AU"/>
                                  </w:rPr>
                                  <w:drawing>
                                    <wp:inline distT="0" distB="0" distL="0" distR="0" wp14:anchorId="62A20EDE" wp14:editId="7E214F88">
                                      <wp:extent cx="1861820" cy="3640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61820" cy="3640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355E9F" id="Rectangle 29" o:spid="_x0000_s1027" style="position:absolute;margin-left:-7pt;margin-top:399pt;width:162pt;height:131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" fillcolor="#295d5b" stroked="f" strokeweight="1pt">
                    <v:textbox>
                      <w:txbxContent>
                        <w:p w14:paraId="4F6DBB60" w14:textId="5D466103" w:rsidR="008D7089" w:rsidRPr="000F73EA" w:rsidRDefault="008D7089" w:rsidP="000F73EA">
                          <w:pPr>
                            <w:jc w:val="center"/>
                            <w:rPr>
                              <w:rFonts w:ascii="Rubik Medium" w:hAnsi="Rubik Medium" w:cs="Rubik Medium"/>
                              <w:b/>
                              <w:bCs/>
                              <w:color w:val="FFFFFF" w:themeColor="background1"/>
                              <w:sz w:val="48"/>
                              <w:szCs w:val="48"/>
                            </w:rPr>
                          </w:pPr>
                          <w:r w:rsidRPr="000F73EA">
                            <w:rPr>
                              <w:rFonts w:ascii="Rubik Medium" w:hAnsi="Rubik Medium" w:cs="Rubik Medium"/>
                              <w:b/>
                              <w:bCs/>
                              <w:color w:val="FFFFFF" w:themeColor="background1"/>
                              <w:sz w:val="22"/>
                            </w:rPr>
                            <w:br/>
                          </w:r>
                          <w:r w:rsidRPr="00A42882">
                            <w:rPr>
                              <w:rFonts w:ascii="Rubik" w:hAnsi="Rubik" w:cs="Rubik Medium"/>
                              <w:b/>
                              <w:bCs/>
                              <w:color w:val="FFFFFF" w:themeColor="background1"/>
                              <w:sz w:val="48"/>
                              <w:szCs w:val="48"/>
                            </w:rPr>
                            <w:t xml:space="preserve">Systematic </w:t>
                          </w:r>
                          <w:r w:rsidRPr="00A42882">
                            <w:rPr>
                              <w:rFonts w:ascii="Rubik" w:hAnsi="Rubik" w:cs="Rubik Medium"/>
                              <w:b/>
                              <w:bCs/>
                              <w:color w:val="FFFFFF" w:themeColor="background1"/>
                              <w:sz w:val="48"/>
                              <w:szCs w:val="48"/>
                            </w:rPr>
                            <w:br/>
                            <w:t>Literature</w:t>
                          </w:r>
                          <w:r w:rsidRPr="00A42882">
                            <w:rPr>
                              <w:rFonts w:ascii="Rubik" w:hAnsi="Rubik" w:cs="Rubik Medium"/>
                              <w:b/>
                              <w:bCs/>
                              <w:color w:val="FFFFFF" w:themeColor="background1"/>
                              <w:sz w:val="48"/>
                              <w:szCs w:val="48"/>
                            </w:rPr>
                            <w:br/>
                            <w:t>Review</w:t>
                          </w:r>
                          <w:r w:rsidRPr="00F56FE1">
                            <w:rPr>
                              <w:rFonts w:ascii="Rubik Medium" w:hAnsi="Rubik Medium" w:cs="Rubik Medium"/>
                              <w:noProof/>
                              <w:color w:val="000000"/>
                              <w:sz w:val="72"/>
                              <w:szCs w:val="72"/>
                              <w:shd w:val="clear" w:color="auto" w:fill="FFFFFF" w:themeFill="background1"/>
                              <w:lang w:eastAsia="en-AU"/>
                            </w:rPr>
                            <w:drawing>
                              <wp:inline distT="0" distB="0" distL="0" distR="0" wp14:anchorId="62A20EDE" wp14:editId="7E214F88">
                                <wp:extent cx="1861820" cy="36404"/>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61820" cy="36404"/>
                                        </a:xfrm>
                                        <a:prstGeom prst="rect">
                                          <a:avLst/>
                                        </a:prstGeom>
                                      </pic:spPr>
                                    </pic:pic>
                                  </a:graphicData>
                                </a:graphic>
                              </wp:inline>
                            </w:drawing>
                          </w:r>
                        </w:p>
                      </w:txbxContent>
                    </v:textbox>
                  </v:rect>
                </w:pict>
              </mc:Fallback>
            </mc:AlternateContent>
          </w:r>
          <w:r w:rsidRPr="00584BCB">
            <w:rPr>
              <w:rFonts w:ascii="Rubik" w:hAnsi="Rubik"/>
              <w:color w:val="000000" w:themeColor="text1"/>
              <w:sz w:val="22"/>
            </w:rPr>
            <w:tab/>
          </w:r>
          <w:r w:rsidR="00514A49" w:rsidRPr="00584BCB">
            <w:rPr>
              <w:rFonts w:ascii="Rubik" w:hAnsi="Rubik"/>
              <w:noProof/>
              <w:color w:val="000000" w:themeColor="text1"/>
              <w:sz w:val="22"/>
              <w:lang w:eastAsia="en-AU"/>
            </w:rPr>
            <mc:AlternateContent>
              <mc:Choice Requires="wps">
                <w:drawing>
                  <wp:anchor distT="0" distB="0" distL="114300" distR="114300" simplePos="0" relativeHeight="251658240" behindDoc="1" locked="0" layoutInCell="1" allowOverlap="1" wp14:anchorId="64B7EFAE" wp14:editId="44707F9E">
                    <wp:simplePos x="0" y="0"/>
                    <wp:positionH relativeFrom="page">
                      <wp:posOffset>2331</wp:posOffset>
                    </wp:positionH>
                    <wp:positionV relativeFrom="page">
                      <wp:posOffset>-19960</wp:posOffset>
                    </wp:positionV>
                    <wp:extent cx="7804150" cy="10861040"/>
                    <wp:effectExtent l="0" t="0" r="19050" b="10160"/>
                    <wp:wrapNone/>
                    <wp:docPr id="16" name="Rectangle 16"/>
                    <wp:cNvGraphicFramePr/>
                    <a:graphic xmlns:a="http://schemas.openxmlformats.org/drawingml/2006/main">
                      <a:graphicData uri="http://schemas.microsoft.com/office/word/2010/wordprocessingShape">
                        <wps:wsp>
                          <wps:cNvSpPr/>
                          <wps:spPr>
                            <a:xfrm>
                              <a:off x="0" y="0"/>
                              <a:ext cx="7804150" cy="1086104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rto="http://schemas.microsoft.com/office/word/2006/arto">
                <w:pict w14:anchorId="7C1C4C22">
                  <v:rect id="Rectangle 16" style="position:absolute;margin-left:.2pt;margin-top:-1.55pt;width:614.5pt;height:855.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white [3212]" strokecolor="#042041 [1604]" strokeweight="1pt" w14:anchorId="32862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">
                    <w10:wrap anchorx="page" anchory="page"/>
                  </v:rect>
                </w:pict>
              </mc:Fallback>
            </mc:AlternateContent>
          </w:r>
        </w:p>
        <w:p w14:paraId="56B4D019" w14:textId="3AEA8888" w:rsidR="001C3592" w:rsidRPr="00584BCB" w:rsidRDefault="001C3592" w:rsidP="00DF2F10">
          <w:pPr>
            <w:pStyle w:val="Identifier"/>
            <w:rPr>
              <w:rFonts w:ascii="Rubik" w:hAnsi="Rubik"/>
              <w:color w:val="000000" w:themeColor="text1"/>
              <w:sz w:val="22"/>
            </w:rPr>
            <w:sectPr w:rsidR="001C3592" w:rsidRPr="00584BCB" w:rsidSect="00A34EA5">
              <w:footerReference w:type="even" r:id="rId11"/>
              <w:footerReference w:type="default" r:id="rId12"/>
              <w:pgSz w:w="12640" w:h="16840"/>
              <w:pgMar w:top="796" w:right="1440" w:bottom="1440" w:left="1440" w:header="720" w:footer="720" w:gutter="0"/>
              <w:cols w:space="720"/>
              <w:titlePg/>
              <w:docGrid w:linePitch="272"/>
            </w:sectPr>
          </w:pPr>
        </w:p>
        <w:p w14:paraId="6FA2BDC6" w14:textId="7A1216EC" w:rsidR="001C3592" w:rsidRPr="00584BCB" w:rsidRDefault="001C3592" w:rsidP="00EA5D9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88" w:lineRule="auto"/>
            <w:rPr>
              <w:rFonts w:ascii="Rubik" w:hAnsi="Rubik" w:cs="Helvetica"/>
              <w:color w:val="000000" w:themeColor="text1"/>
              <w:sz w:val="22"/>
              <w:lang w:val="en-US"/>
            </w:rPr>
          </w:pPr>
          <w:r w:rsidRPr="00584BCB">
            <w:rPr>
              <w:rFonts w:ascii="Rubik" w:hAnsi="Rubik" w:cs="Rubik Medium"/>
              <w:color w:val="000000" w:themeColor="text1"/>
              <w:sz w:val="22"/>
            </w:rPr>
            <w:lastRenderedPageBreak/>
            <w:t xml:space="preserve">The </w:t>
          </w:r>
          <w:r w:rsidRPr="00584BCB">
            <w:rPr>
              <w:rFonts w:ascii="Rubik" w:hAnsi="Rubik" w:cs="Rubik Medium"/>
              <w:b/>
              <w:bCs/>
              <w:color w:val="000000" w:themeColor="text1"/>
              <w:sz w:val="22"/>
            </w:rPr>
            <w:t>E</w:t>
          </w:r>
          <w:r w:rsidRPr="00584BCB">
            <w:rPr>
              <w:rFonts w:ascii="Rubik" w:hAnsi="Rubik" w:cs="Rubik Medium" w:hint="cs"/>
              <w:b/>
              <w:bCs/>
              <w:color w:val="000000" w:themeColor="text1"/>
              <w:sz w:val="22"/>
            </w:rPr>
            <w:t>conomic Participation and Employment project</w:t>
          </w:r>
          <w:r w:rsidRPr="00584BCB">
            <w:rPr>
              <w:rFonts w:ascii="Rubik" w:hAnsi="Rubik" w:cs="Rubik Medium" w:hint="cs"/>
              <w:color w:val="000000" w:themeColor="text1"/>
              <w:sz w:val="22"/>
            </w:rPr>
            <w:t xml:space="preserve"> is funded by the National Disability Insurance Agency. The program aims to better understand the best available evidence regarding the effectiveness of different disability employment interventions and also provide insight into the best current evidence and practice relating to these programs. The research is a collaborative project between researchers at the Disability and Health Unit within the Melbourne School of Population and Global Health at the University of Melbourne, the Brotherhood of St Laurence and the University of New South Wales Public Service Research Group.</w:t>
          </w:r>
          <w:r w:rsidR="00D110ED" w:rsidRPr="00584BCB">
            <w:rPr>
              <w:rFonts w:ascii="Rubik" w:hAnsi="Rubik" w:cs="Rubik Medium"/>
              <w:color w:val="000000" w:themeColor="text1"/>
              <w:sz w:val="22"/>
            </w:rPr>
            <w:t xml:space="preserve"> This report forms part of a larger project and seeks to systematically assess </w:t>
          </w:r>
          <w:r w:rsidR="00D110ED" w:rsidRPr="00584BCB">
            <w:rPr>
              <w:rFonts w:ascii="Rubik" w:hAnsi="Rubik" w:cs="Helvetica"/>
              <w:color w:val="000000" w:themeColor="text1"/>
              <w:sz w:val="22"/>
              <w:lang w:val="en-US"/>
            </w:rPr>
            <w:t xml:space="preserve">vocational interventions aimed at improving employment participation of people with autism, intellectual and/or psychosocial </w:t>
          </w:r>
          <w:r w:rsidR="000823D5" w:rsidRPr="00584BCB">
            <w:rPr>
              <w:rFonts w:ascii="Rubik" w:hAnsi="Rubik" w:cs="Helvetica"/>
              <w:color w:val="000000" w:themeColor="text1"/>
              <w:sz w:val="22"/>
              <w:lang w:val="en-US"/>
            </w:rPr>
            <w:t>disability</w:t>
          </w:r>
          <w:r w:rsidR="00D110ED" w:rsidRPr="00584BCB">
            <w:rPr>
              <w:rFonts w:ascii="Rubik" w:hAnsi="Rubik" w:cs="Helvetica"/>
              <w:color w:val="000000" w:themeColor="text1"/>
              <w:sz w:val="22"/>
              <w:lang w:val="en-US"/>
            </w:rPr>
            <w:t xml:space="preserve">. It was conducted by the Disability and Health unit at University of Melbourne and the Public Service Research Group at UNSW. </w:t>
          </w:r>
        </w:p>
        <w:p w14:paraId="2E2FFA1E" w14:textId="77777777" w:rsidR="00DD4CC1" w:rsidRPr="00584BCB" w:rsidRDefault="00DD4CC1" w:rsidP="00DD4CC1">
          <w:pPr>
            <w:pStyle w:val="BasicParagraph"/>
            <w:suppressAutoHyphens/>
            <w:rPr>
              <w:rFonts w:ascii="Rubik" w:hAnsi="Rubik" w:cs="Rubik Medium"/>
              <w:color w:val="000000" w:themeColor="text1"/>
              <w:sz w:val="22"/>
              <w:szCs w:val="22"/>
            </w:rPr>
          </w:pPr>
        </w:p>
        <w:p w14:paraId="51573B95" w14:textId="1924A739" w:rsidR="001C3592" w:rsidRPr="00584BCB" w:rsidRDefault="001C3592" w:rsidP="001C3592">
          <w:pPr>
            <w:pStyle w:val="BasicParagraph"/>
            <w:suppressAutoHyphens/>
            <w:rPr>
              <w:rFonts w:ascii="Rubik" w:hAnsi="Rubik" w:cs="Rubik Medium"/>
              <w:b/>
              <w:bCs/>
              <w:color w:val="000000" w:themeColor="text1"/>
              <w:sz w:val="22"/>
              <w:szCs w:val="22"/>
            </w:rPr>
          </w:pPr>
          <w:r w:rsidRPr="00584BCB">
            <w:rPr>
              <w:rFonts w:ascii="Rubik" w:hAnsi="Rubik" w:cs="Rubik Medium" w:hint="cs"/>
              <w:b/>
              <w:bCs/>
              <w:color w:val="000000" w:themeColor="text1"/>
              <w:sz w:val="22"/>
              <w:szCs w:val="22"/>
            </w:rPr>
            <w:t>Disability and Health Unit (DHU), Melbourne School of Population and Global Health, The University of Melbourne</w:t>
          </w:r>
        </w:p>
        <w:p w14:paraId="1A959747" w14:textId="5BB1ED5A" w:rsidR="001C3592" w:rsidRPr="00584BCB" w:rsidRDefault="001C3592" w:rsidP="001C3592">
          <w:pPr>
            <w:pStyle w:val="BasicParagraph"/>
            <w:suppressAutoHyphens/>
            <w:rPr>
              <w:rFonts w:ascii="Rubik" w:hAnsi="Rubik" w:cs="Rubik Medium"/>
              <w:color w:val="000000" w:themeColor="text1"/>
              <w:sz w:val="22"/>
              <w:szCs w:val="22"/>
            </w:rPr>
          </w:pPr>
          <w:r w:rsidRPr="00584BCB">
            <w:rPr>
              <w:rFonts w:ascii="Rubik" w:hAnsi="Rubik" w:cs="Rubik Medium" w:hint="cs"/>
              <w:color w:val="000000" w:themeColor="text1"/>
              <w:sz w:val="22"/>
              <w:szCs w:val="22"/>
            </w:rPr>
            <w:t xml:space="preserve">DHU aims to improve the health of people with </w:t>
          </w:r>
          <w:r w:rsidR="000823D5" w:rsidRPr="00584BCB">
            <w:rPr>
              <w:rFonts w:ascii="Rubik" w:hAnsi="Rubik" w:cs="Rubik Medium" w:hint="cs"/>
              <w:color w:val="000000" w:themeColor="text1"/>
              <w:sz w:val="22"/>
              <w:szCs w:val="22"/>
            </w:rPr>
            <w:t>disability</w:t>
          </w:r>
          <w:r w:rsidRPr="00584BCB">
            <w:rPr>
              <w:rFonts w:ascii="Rubik" w:hAnsi="Rubik" w:cs="Rubik Medium" w:hint="cs"/>
              <w:color w:val="000000" w:themeColor="text1"/>
              <w:sz w:val="22"/>
              <w:szCs w:val="22"/>
            </w:rPr>
            <w:t xml:space="preserve">, their families and communities through rigorous research and knowledge exchange. DHU brings expertise in complex data analysis, mental health, employment, gender studies, and public health. They lead a range of large interdisciplinary projects on employment programs for people with disability with a focus on youth. Other projects focus on violence, abuse and neglect; experiences of NDIS participants and utilisation of NDIS plans; young people with disability and young carers; monitoring disability-related health inequalities; and simulations of policy interventions to improve health </w:t>
          </w:r>
          <w:r w:rsidRPr="00584BCB">
            <w:rPr>
              <w:rFonts w:ascii="Rubik" w:hAnsi="Rubik" w:cs="Rubik Medium" w:hint="cs"/>
              <w:color w:val="000000" w:themeColor="text1"/>
              <w:sz w:val="22"/>
              <w:szCs w:val="22"/>
            </w:rPr>
            <w:t xml:space="preserve">outcomes for people with disability. DHU works collaboratively with governments, advocacy groups, services and other stakeholders to generate evidence about how to enhance the health and wellbeing of people with disability. The Unit hosts the NHMRC Centre of Research Excellence in Disability and Health. </w:t>
          </w:r>
          <w:r w:rsidRPr="00584BCB">
            <w:rPr>
              <w:rFonts w:ascii="Rubik" w:hAnsi="Rubik" w:cs="Rubik Medium" w:hint="cs"/>
              <w:color w:val="000000" w:themeColor="text1"/>
              <w:sz w:val="22"/>
              <w:szCs w:val="22"/>
            </w:rPr>
            <w:br/>
          </w:r>
        </w:p>
        <w:p w14:paraId="77D93197" w14:textId="77777777" w:rsidR="001C3592" w:rsidRPr="00584BCB" w:rsidRDefault="001C3592" w:rsidP="001C3592">
          <w:pPr>
            <w:pStyle w:val="BasicParagraph"/>
            <w:suppressAutoHyphens/>
            <w:rPr>
              <w:rFonts w:ascii="Rubik" w:hAnsi="Rubik" w:cs="Rubik Medium"/>
              <w:b/>
              <w:bCs/>
              <w:color w:val="000000" w:themeColor="text1"/>
              <w:sz w:val="22"/>
              <w:szCs w:val="22"/>
            </w:rPr>
          </w:pPr>
          <w:r w:rsidRPr="00584BCB">
            <w:rPr>
              <w:rFonts w:ascii="Rubik" w:hAnsi="Rubik" w:cs="Rubik Medium" w:hint="cs"/>
              <w:b/>
              <w:bCs/>
              <w:color w:val="000000" w:themeColor="text1"/>
              <w:sz w:val="22"/>
              <w:szCs w:val="22"/>
            </w:rPr>
            <w:t xml:space="preserve">Public Service Research Group (PSRG), The University of New South Wales </w:t>
          </w:r>
        </w:p>
        <w:p w14:paraId="625073E7" w14:textId="77777777" w:rsidR="001C3592" w:rsidRPr="00584BCB" w:rsidRDefault="001C3592" w:rsidP="00A90DDB">
          <w:pPr>
            <w:pStyle w:val="BasicParagraph"/>
            <w:suppressAutoHyphens/>
            <w:rPr>
              <w:rFonts w:ascii="Rubik" w:hAnsi="Rubik" w:cs="Rubik Medium"/>
              <w:color w:val="000000" w:themeColor="text1"/>
              <w:sz w:val="22"/>
              <w:szCs w:val="22"/>
            </w:rPr>
          </w:pPr>
          <w:r w:rsidRPr="00584BCB">
            <w:rPr>
              <w:rFonts w:ascii="Rubik" w:hAnsi="Rubik" w:cs="Rubik Medium" w:hint="cs"/>
              <w:color w:val="000000" w:themeColor="text1"/>
              <w:sz w:val="22"/>
              <w:szCs w:val="22"/>
            </w:rPr>
            <w:t xml:space="preserve">PSRG was established to partner with organisational clients to produce new insights into effective public service implementation and evaluation. They perform timely, high-quality and reliable research into public policy implementation. PSRG takes an inter-disciplinary and inter-methodological approach that recognises the complexity of contexts and plurality of interests involved in any policy implementation. The research projects build local practice while advancing global knowledge. PSRG takes a systems-based approach, engage with partners to build mutually beneficial relationships, adopting an assets-based approach. The Group’s thought-leadership and quality research contributes to both local practice and global knowledge of public service delivery, implementation and evaluation. </w:t>
          </w:r>
          <w:r w:rsidRPr="00584BCB">
            <w:rPr>
              <w:rFonts w:ascii="Rubik" w:hAnsi="Rubik" w:cs="Rubik Medium" w:hint="cs"/>
              <w:color w:val="000000" w:themeColor="text1"/>
              <w:sz w:val="22"/>
              <w:szCs w:val="22"/>
            </w:rPr>
            <w:br/>
          </w:r>
        </w:p>
        <w:p w14:paraId="61421B53" w14:textId="10B99B5F" w:rsidR="0054531D" w:rsidRPr="00584BCB" w:rsidRDefault="001C3592" w:rsidP="00425B48">
          <w:pPr>
            <w:pStyle w:val="BasicParagraph"/>
            <w:suppressAutoHyphens/>
            <w:spacing w:line="240" w:lineRule="auto"/>
            <w:ind w:right="-74"/>
            <w:rPr>
              <w:rFonts w:ascii="Rubik" w:hAnsi="Rubik" w:cs="Rubik Light"/>
              <w:color w:val="000000" w:themeColor="text1"/>
              <w:sz w:val="18"/>
              <w:szCs w:val="18"/>
            </w:rPr>
          </w:pPr>
          <w:r w:rsidRPr="00584BCB">
            <w:rPr>
              <w:rFonts w:ascii="Rubik" w:hAnsi="Rubik" w:cs="Rubik Light" w:hint="cs"/>
              <w:b/>
              <w:bCs/>
              <w:color w:val="000000" w:themeColor="text1"/>
              <w:sz w:val="18"/>
              <w:szCs w:val="18"/>
            </w:rPr>
            <w:t>Authors:</w:t>
          </w:r>
          <w:r w:rsidRPr="00584BCB">
            <w:rPr>
              <w:rFonts w:ascii="Rubik" w:hAnsi="Rubik" w:cs="Rubik Light" w:hint="cs"/>
              <w:color w:val="000000" w:themeColor="text1"/>
              <w:sz w:val="18"/>
              <w:szCs w:val="18"/>
            </w:rPr>
            <w:t xml:space="preserve"> </w:t>
          </w:r>
          <w:r w:rsidR="0054531D" w:rsidRPr="00584BCB">
            <w:rPr>
              <w:rFonts w:ascii="Rubik" w:hAnsi="Rubik" w:cs="Rubik Light" w:hint="cs"/>
              <w:color w:val="000000" w:themeColor="text1"/>
              <w:sz w:val="18"/>
              <w:szCs w:val="18"/>
            </w:rPr>
            <w:t>Isabelle Weld-Blundell (University of Melbourne); Marissa Shields</w:t>
          </w:r>
          <w:r w:rsidR="005C7D55" w:rsidRPr="00584BCB">
            <w:rPr>
              <w:rFonts w:ascii="Rubik" w:hAnsi="Rubik" w:cs="Rubik Light" w:hint="cs"/>
              <w:color w:val="000000" w:themeColor="text1"/>
              <w:sz w:val="18"/>
              <w:szCs w:val="18"/>
            </w:rPr>
            <w:t xml:space="preserve"> (University of Melbourne);</w:t>
          </w:r>
          <w:r w:rsidR="0054531D" w:rsidRPr="00584BCB">
            <w:rPr>
              <w:rFonts w:ascii="Rubik" w:hAnsi="Rubik" w:cs="Rubik Light" w:hint="cs"/>
              <w:color w:val="000000" w:themeColor="text1"/>
              <w:sz w:val="18"/>
              <w:szCs w:val="18"/>
            </w:rPr>
            <w:t xml:space="preserve"> Dr Laura Davy</w:t>
          </w:r>
          <w:r w:rsidR="0054531D" w:rsidRPr="00584BCB">
            <w:rPr>
              <w:rFonts w:ascii="Rubik" w:hAnsi="Rubik" w:cs="Rubik Light"/>
              <w:color w:val="000000" w:themeColor="text1"/>
              <w:sz w:val="18"/>
              <w:szCs w:val="18"/>
            </w:rPr>
            <w:t xml:space="preserve"> (ANU)</w:t>
          </w:r>
          <w:r w:rsidR="005C7D55" w:rsidRPr="00584BCB">
            <w:rPr>
              <w:rFonts w:ascii="Rubik" w:hAnsi="Rubik" w:cs="Rubik Light"/>
              <w:color w:val="000000" w:themeColor="text1"/>
              <w:sz w:val="18"/>
              <w:szCs w:val="18"/>
            </w:rPr>
            <w:t>;</w:t>
          </w:r>
          <w:r w:rsidR="0054531D" w:rsidRPr="00584BCB">
            <w:rPr>
              <w:rFonts w:ascii="Rubik" w:hAnsi="Rubik" w:cs="Rubik Light" w:hint="cs"/>
              <w:color w:val="000000" w:themeColor="text1"/>
              <w:sz w:val="18"/>
              <w:szCs w:val="18"/>
            </w:rPr>
            <w:t xml:space="preserve"> Professor Helen Dickinson</w:t>
          </w:r>
          <w:r w:rsidR="0054531D" w:rsidRPr="00584BCB">
            <w:rPr>
              <w:rFonts w:ascii="Rubik" w:hAnsi="Rubik" w:cs="Rubik Light"/>
              <w:color w:val="000000" w:themeColor="text1"/>
              <w:sz w:val="18"/>
              <w:szCs w:val="18"/>
            </w:rPr>
            <w:t xml:space="preserve"> (UNSW Canberra)</w:t>
          </w:r>
          <w:r w:rsidR="005C7D55" w:rsidRPr="00584BCB">
            <w:rPr>
              <w:rFonts w:ascii="Rubik" w:hAnsi="Rubik" w:cs="Rubik Light"/>
              <w:color w:val="000000" w:themeColor="text1"/>
              <w:sz w:val="18"/>
              <w:szCs w:val="18"/>
            </w:rPr>
            <w:t>;</w:t>
          </w:r>
          <w:r w:rsidR="0054531D" w:rsidRPr="00584BCB">
            <w:rPr>
              <w:rFonts w:ascii="Rubik" w:hAnsi="Rubik" w:cs="Rubik Light" w:hint="cs"/>
              <w:color w:val="000000" w:themeColor="text1"/>
              <w:sz w:val="18"/>
              <w:szCs w:val="18"/>
            </w:rPr>
            <w:t xml:space="preserve"> Professor Anne Kavanagh and Dr Claudia Marck (University of Melbourne)</w:t>
          </w:r>
          <w:r w:rsidR="005C7D55" w:rsidRPr="00584BCB">
            <w:rPr>
              <w:rFonts w:ascii="Rubik" w:hAnsi="Rubik" w:cs="Rubik Light"/>
              <w:color w:val="000000" w:themeColor="text1"/>
              <w:sz w:val="18"/>
              <w:szCs w:val="18"/>
            </w:rPr>
            <w:t>.</w:t>
          </w:r>
        </w:p>
        <w:p w14:paraId="0FBC9C2C" w14:textId="77777777" w:rsidR="0054531D" w:rsidRPr="00584BCB" w:rsidRDefault="0054531D" w:rsidP="00425B48">
          <w:pPr>
            <w:pStyle w:val="BasicParagraph"/>
            <w:suppressAutoHyphens/>
            <w:spacing w:line="240" w:lineRule="auto"/>
            <w:ind w:right="-74"/>
            <w:rPr>
              <w:rFonts w:ascii="Rubik" w:hAnsi="Rubik" w:cs="Rubik Light"/>
              <w:b/>
              <w:bCs/>
              <w:color w:val="000000" w:themeColor="text1"/>
              <w:sz w:val="18"/>
              <w:szCs w:val="18"/>
            </w:rPr>
          </w:pPr>
        </w:p>
        <w:p w14:paraId="35A24042" w14:textId="43E70C22" w:rsidR="00072550" w:rsidRPr="00584BCB" w:rsidRDefault="001C3592" w:rsidP="00300BC4">
          <w:pPr>
            <w:pStyle w:val="BasicParagraph"/>
            <w:suppressAutoHyphens/>
            <w:spacing w:line="240" w:lineRule="auto"/>
            <w:ind w:right="-74"/>
            <w:rPr>
              <w:rFonts w:ascii="RubikRoman-Light" w:hAnsi="RubikRoman-Light" w:cs="RubikRoman-Light"/>
              <w:color w:val="000000" w:themeColor="text1"/>
              <w:sz w:val="22"/>
              <w:szCs w:val="22"/>
            </w:rPr>
          </w:pPr>
          <w:r w:rsidRPr="00584BCB">
            <w:rPr>
              <w:rFonts w:ascii="Rubik" w:hAnsi="Rubik" w:cs="Rubik Light"/>
              <w:b/>
              <w:bCs/>
              <w:color w:val="000000" w:themeColor="text1"/>
              <w:sz w:val="18"/>
              <w:szCs w:val="18"/>
            </w:rPr>
            <w:t>Suggested citation:</w:t>
          </w:r>
          <w:r w:rsidRPr="00584BCB">
            <w:rPr>
              <w:rFonts w:ascii="Rubik" w:hAnsi="Rubik" w:cs="Rubik Light"/>
              <w:color w:val="000000" w:themeColor="text1"/>
              <w:sz w:val="18"/>
              <w:szCs w:val="18"/>
            </w:rPr>
            <w:t xml:space="preserve"> </w:t>
          </w:r>
          <w:r w:rsidRPr="00584BCB">
            <w:rPr>
              <w:rFonts w:ascii="Rubik" w:hAnsi="Rubik" w:cs="Rubik Light"/>
              <w:color w:val="000000" w:themeColor="text1"/>
              <w:sz w:val="18"/>
              <w:szCs w:val="18"/>
            </w:rPr>
            <w:br/>
          </w:r>
          <w:r w:rsidR="00FD32DC" w:rsidRPr="00584BCB">
            <w:rPr>
              <w:rFonts w:ascii="Rubik" w:hAnsi="Rubik" w:cs="Helvetica"/>
              <w:color w:val="000000" w:themeColor="text1"/>
              <w:sz w:val="18"/>
              <w:szCs w:val="18"/>
            </w:rPr>
            <w:t xml:space="preserve">Weld-Blundell I, Shields M, Davy L, Dickinson H, Kavanagh A, Marck CH </w:t>
          </w:r>
          <w:r w:rsidR="005C7D55" w:rsidRPr="00584BCB">
            <w:rPr>
              <w:rFonts w:ascii="Rubik" w:hAnsi="Rubik" w:cs="Helvetica"/>
              <w:color w:val="000000" w:themeColor="text1"/>
              <w:sz w:val="18"/>
              <w:szCs w:val="18"/>
            </w:rPr>
            <w:t xml:space="preserve">(2021). </w:t>
          </w:r>
          <w:r w:rsidR="00FD32DC" w:rsidRPr="00584BCB">
            <w:rPr>
              <w:rFonts w:ascii="Rubik" w:hAnsi="Rubik" w:cs="Helvetica"/>
              <w:i/>
              <w:iCs/>
              <w:color w:val="000000" w:themeColor="text1"/>
              <w:sz w:val="18"/>
              <w:szCs w:val="18"/>
            </w:rPr>
            <w:t>Interventions for employment participation in people with autism, intellectual disability, and/or psychosocial disability: a systematic literature review</w:t>
          </w:r>
          <w:r w:rsidR="00FD32DC" w:rsidRPr="00584BCB">
            <w:rPr>
              <w:rFonts w:ascii="Rubik" w:hAnsi="Rubik" w:cs="Helvetica"/>
              <w:color w:val="000000" w:themeColor="text1"/>
              <w:sz w:val="18"/>
              <w:szCs w:val="18"/>
            </w:rPr>
            <w:t xml:space="preserve">. University of Melbourne </w:t>
          </w:r>
          <w:r w:rsidR="005C7D55" w:rsidRPr="00584BCB">
            <w:rPr>
              <w:rFonts w:ascii="Rubik" w:hAnsi="Rubik" w:cs="Helvetica"/>
              <w:color w:val="000000" w:themeColor="text1"/>
              <w:sz w:val="18"/>
              <w:szCs w:val="18"/>
            </w:rPr>
            <w:t xml:space="preserve">and </w:t>
          </w:r>
          <w:r w:rsidR="00FD32DC" w:rsidRPr="00584BCB">
            <w:rPr>
              <w:rFonts w:ascii="Rubik" w:hAnsi="Rubik" w:cs="Helvetica"/>
              <w:color w:val="000000" w:themeColor="text1"/>
              <w:sz w:val="18"/>
              <w:szCs w:val="18"/>
            </w:rPr>
            <w:t>UNSW Canberra</w:t>
          </w:r>
          <w:r w:rsidR="00EA5D94" w:rsidRPr="00584BCB">
            <w:rPr>
              <w:rFonts w:ascii="Rubik" w:hAnsi="Rubik" w:cs="Helvetica"/>
              <w:color w:val="000000" w:themeColor="text1"/>
              <w:sz w:val="18"/>
              <w:szCs w:val="18"/>
            </w:rPr>
            <w:t>,</w:t>
          </w:r>
          <w:r w:rsidR="00FD32DC" w:rsidRPr="00584BCB">
            <w:rPr>
              <w:rFonts w:ascii="Rubik" w:hAnsi="Rubik" w:cs="Helvetica"/>
              <w:color w:val="000000" w:themeColor="text1"/>
              <w:sz w:val="18"/>
              <w:szCs w:val="18"/>
            </w:rPr>
            <w:t xml:space="preserve"> Melbourne.</w:t>
          </w:r>
          <w:r w:rsidRPr="00584BCB">
            <w:rPr>
              <w:rFonts w:ascii="Rubik" w:hAnsi="Rubik" w:cs="Rubik"/>
              <w:color w:val="000000" w:themeColor="text1"/>
              <w:sz w:val="16"/>
              <w:szCs w:val="16"/>
            </w:rPr>
            <w:br/>
          </w:r>
        </w:p>
        <w:p w14:paraId="719EF399" w14:textId="7EFC71AF" w:rsidR="00072550" w:rsidRPr="00584BCB" w:rsidRDefault="00072550" w:rsidP="00666981">
          <w:pPr>
            <w:pStyle w:val="BasicParagraph"/>
            <w:suppressAutoHyphens/>
            <w:ind w:right="-72"/>
            <w:rPr>
              <w:rFonts w:ascii="RubikRoman-Light" w:hAnsi="RubikRoman-Light" w:cs="RubikRoman-Light"/>
              <w:color w:val="000000" w:themeColor="text1"/>
              <w:sz w:val="20"/>
              <w:szCs w:val="20"/>
            </w:rPr>
            <w:sectPr w:rsidR="00072550" w:rsidRPr="00584BCB" w:rsidSect="00B05C80">
              <w:pgSz w:w="11906" w:h="16838" w:code="9"/>
              <w:pgMar w:top="1134" w:right="1134" w:bottom="1134" w:left="1134" w:header="709" w:footer="709" w:gutter="0"/>
              <w:pgNumType w:start="1"/>
              <w:cols w:num="2" w:space="709"/>
              <w:titlePg/>
              <w:docGrid w:linePitch="360"/>
            </w:sectPr>
          </w:pPr>
        </w:p>
        <w:p w14:paraId="7F1E5F50" w14:textId="31978433" w:rsidR="00786520" w:rsidRPr="00584BCB" w:rsidRDefault="00786520">
          <w:pPr>
            <w:spacing w:after="160" w:line="259" w:lineRule="auto"/>
            <w:rPr>
              <w:rFonts w:ascii="Rubik" w:hAnsi="Rubik"/>
              <w:color w:val="000000" w:themeColor="text1"/>
              <w:sz w:val="22"/>
            </w:rPr>
          </w:pPr>
        </w:p>
        <w:p w14:paraId="740F6357" w14:textId="1FB1004C" w:rsidR="00786520" w:rsidRPr="00584BCB" w:rsidRDefault="00786520">
          <w:pPr>
            <w:spacing w:after="160" w:line="259" w:lineRule="auto"/>
            <w:rPr>
              <w:rFonts w:ascii="Rubik" w:hAnsi="Rubik"/>
              <w:color w:val="000000" w:themeColor="text1"/>
              <w:sz w:val="22"/>
            </w:rPr>
          </w:pPr>
          <w:r w:rsidRPr="00584BCB">
            <w:rPr>
              <w:rFonts w:ascii="Rubik" w:hAnsi="Rubik" w:cs="Rubik Medium"/>
              <w:b/>
              <w:bCs/>
              <w:noProof/>
              <w:color w:val="000000" w:themeColor="text1"/>
              <w:szCs w:val="20"/>
              <w:lang w:eastAsia="en-AU"/>
            </w:rPr>
            <mc:AlternateContent>
              <mc:Choice Requires="wps">
                <w:drawing>
                  <wp:anchor distT="45720" distB="45720" distL="114300" distR="114300" simplePos="0" relativeHeight="251660295" behindDoc="0" locked="0" layoutInCell="1" allowOverlap="1" wp14:anchorId="646518A8" wp14:editId="0CD67D77">
                    <wp:simplePos x="0" y="0"/>
                    <wp:positionH relativeFrom="column">
                      <wp:posOffset>-111125</wp:posOffset>
                    </wp:positionH>
                    <wp:positionV relativeFrom="paragraph">
                      <wp:posOffset>270510</wp:posOffset>
                    </wp:positionV>
                    <wp:extent cx="5600700" cy="3934460"/>
                    <wp:effectExtent l="0" t="0" r="1270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3934460"/>
                            </a:xfrm>
                            <a:prstGeom prst="rect">
                              <a:avLst/>
                            </a:prstGeom>
                            <a:solidFill>
                              <a:srgbClr val="FFFFFF"/>
                            </a:solidFill>
                            <a:ln w="9525">
                              <a:solidFill>
                                <a:srgbClr val="000000"/>
                              </a:solidFill>
                              <a:miter lim="800000"/>
                              <a:headEnd/>
                              <a:tailEnd/>
                            </a:ln>
                          </wps:spPr>
                          <wps:txbx>
                            <w:txbxContent>
                              <w:p w14:paraId="4214F59B" w14:textId="77777777" w:rsidR="00786520" w:rsidRPr="004201EC" w:rsidRDefault="00786520" w:rsidP="00786520">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77E5AB33" w14:textId="25B0D7DF" w:rsidR="00786520" w:rsidRPr="004201EC" w:rsidRDefault="00B20461" w:rsidP="00786520">
                                <w:pPr>
                                  <w:pStyle w:val="BasicParagraph"/>
                                  <w:suppressAutoHyphens/>
                                  <w:rPr>
                                    <w:rFonts w:ascii="Rubik" w:hAnsi="Rubik" w:cs="Rubik Medium"/>
                                    <w:color w:val="000000" w:themeColor="text1"/>
                                    <w:sz w:val="20"/>
                                    <w:szCs w:val="20"/>
                                  </w:rPr>
                                </w:pPr>
                                <w:r>
                                  <w:rPr>
                                    <w:rFonts w:ascii="Rubik" w:hAnsi="Rubik" w:cs="Rubik Medium" w:hint="cs"/>
                                    <w:color w:val="000000" w:themeColor="text1"/>
                                    <w:sz w:val="20"/>
                                    <w:szCs w:val="20"/>
                                  </w:rPr>
                                  <w:t xml:space="preserve">This report </w:t>
                                </w:r>
                                <w:r w:rsidR="001F423E">
                                  <w:rPr>
                                    <w:rFonts w:ascii="Rubik" w:hAnsi="Rubik" w:cs="Rubik Medium"/>
                                    <w:color w:val="000000" w:themeColor="text1"/>
                                    <w:sz w:val="20"/>
                                    <w:szCs w:val="20"/>
                                  </w:rPr>
                                  <w:t>was</w:t>
                                </w:r>
                                <w:r>
                                  <w:rPr>
                                    <w:rFonts w:ascii="Rubik" w:hAnsi="Rubik" w:cs="Rubik Medium" w:hint="cs"/>
                                    <w:color w:val="000000" w:themeColor="text1"/>
                                    <w:sz w:val="20"/>
                                    <w:szCs w:val="20"/>
                                  </w:rPr>
                                  <w:t xml:space="preserve"> commissioned by the National Disability Insurance Agency</w:t>
                                </w:r>
                                <w:r>
                                  <w:rPr>
                                    <w:rFonts w:ascii="Rubik" w:hAnsi="Rubik" w:cs="Rubik Medium"/>
                                    <w:color w:val="000000" w:themeColor="text1"/>
                                    <w:sz w:val="20"/>
                                    <w:szCs w:val="20"/>
                                  </w:rPr>
                                  <w:t xml:space="preserve">. </w:t>
                                </w:r>
                                <w:r w:rsidR="00786520" w:rsidRPr="004201EC">
                                  <w:rPr>
                                    <w:rFonts w:ascii="Rubik" w:hAnsi="Rubik" w:cs="Rubik Medium" w:hint="cs"/>
                                    <w:color w:val="000000" w:themeColor="text1"/>
                                    <w:sz w:val="20"/>
                                    <w:szCs w:val="20"/>
                                  </w:rPr>
                                  <w:t>Copyright in this review and all the information it contains vests in the National Disability Insurance</w:t>
                                </w:r>
                                <w:r w:rsidR="005303CF">
                                  <w:rPr>
                                    <w:rFonts w:ascii="Rubik" w:hAnsi="Rubik" w:cs="Rubik Medium"/>
                                    <w:color w:val="000000" w:themeColor="text1"/>
                                    <w:sz w:val="20"/>
                                    <w:szCs w:val="20"/>
                                  </w:rPr>
                                  <w:t xml:space="preserve"> </w:t>
                                </w:r>
                                <w:r w:rsidR="00786520"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information presented in this review.</w:t>
                                </w:r>
                              </w:p>
                              <w:p w14:paraId="40E5B365" w14:textId="77777777" w:rsidR="00786520" w:rsidRPr="004201EC" w:rsidRDefault="00786520" w:rsidP="00786520">
                                <w:pPr>
                                  <w:pStyle w:val="BasicParagraph"/>
                                  <w:suppressAutoHyphens/>
                                  <w:rPr>
                                    <w:rFonts w:ascii="Rubik" w:hAnsi="Rubik" w:cs="Rubik Medium"/>
                                    <w:color w:val="000000" w:themeColor="text1"/>
                                    <w:sz w:val="20"/>
                                    <w:szCs w:val="20"/>
                                  </w:rPr>
                                </w:pPr>
                              </w:p>
                              <w:p w14:paraId="47200AE0" w14:textId="200FC6C5" w:rsidR="00786520" w:rsidRPr="004201EC" w:rsidRDefault="00786520" w:rsidP="00786520">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Material in this review is made available on the understanding that the National Disability Insurance Agency is not providing professional advice. Before relying on an</w:t>
                                </w:r>
                                <w:r w:rsidR="00AF7F66">
                                  <w:rPr>
                                    <w:rFonts w:ascii="Rubik" w:hAnsi="Rubik" w:cs="Rubik Medium" w:hint="cs"/>
                                    <w:color w:val="000000" w:themeColor="text1"/>
                                    <w:sz w:val="20"/>
                                    <w:szCs w:val="20"/>
                                  </w:rPr>
                                  <w:t>y of the material in this review</w:t>
                                </w:r>
                                <w:r w:rsidRPr="004201EC">
                                  <w:rPr>
                                    <w:rFonts w:ascii="Rubik" w:hAnsi="Rubik" w:cs="Rubik Medium" w:hint="cs"/>
                                    <w:color w:val="000000" w:themeColor="text1"/>
                                    <w:sz w:val="20"/>
                                    <w:szCs w:val="20"/>
                                  </w:rPr>
                                  <w:t>, users should obtain appropriate professional advice.</w:t>
                                </w:r>
                              </w:p>
                              <w:p w14:paraId="334DFD68" w14:textId="77777777" w:rsidR="00786520" w:rsidRPr="004201EC" w:rsidRDefault="00786520" w:rsidP="00786520">
                                <w:pPr>
                                  <w:pStyle w:val="BasicParagraph"/>
                                  <w:suppressAutoHyphens/>
                                  <w:rPr>
                                    <w:rFonts w:ascii="Rubik" w:hAnsi="Rubik" w:cs="Rubik Medium"/>
                                    <w:color w:val="000000" w:themeColor="text1"/>
                                    <w:sz w:val="20"/>
                                    <w:szCs w:val="20"/>
                                  </w:rPr>
                                </w:pPr>
                              </w:p>
                              <w:p w14:paraId="51FF43F0" w14:textId="77777777" w:rsidR="00786520" w:rsidRPr="00347B43" w:rsidRDefault="00786520" w:rsidP="00786520">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 also be included in this review, do not necessarily reflect the views of the National Disability Insurance Agency, or indicate a commitment to a particular course of action. Links to other internet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r w:rsidRPr="00347B43">
                                  <w:rPr>
                                    <w:rFonts w:ascii="Rubik" w:hAnsi="Rubik" w:cs="Rubik Medium"/>
                                    <w:color w:val="000000" w:themeColor="text1"/>
                                    <w:sz w:val="20"/>
                                    <w:szCs w:val="20"/>
                                  </w:rPr>
                                  <w:t>organisation, product or service.</w:t>
                                </w:r>
                              </w:p>
                              <w:p w14:paraId="48DE4121" w14:textId="77777777" w:rsidR="00786520" w:rsidRPr="004201EC" w:rsidRDefault="00786520" w:rsidP="00786520">
                                <w:pPr>
                                  <w:rPr>
                                    <w:rFonts w:ascii="Rubik" w:hAnsi="Rubik" w:cs="Rubik"/>
                                    <w:szCs w:val="20"/>
                                  </w:rPr>
                                </w:pPr>
                              </w:p>
                              <w:p w14:paraId="11755AE5" w14:textId="77777777" w:rsidR="00786520" w:rsidRDefault="00786520" w:rsidP="00786520"/>
                              <w:p w14:paraId="5E2CB6BE" w14:textId="77777777" w:rsidR="00786520" w:rsidRDefault="00786520" w:rsidP="00786520"/>
                              <w:p w14:paraId="746B6FA9" w14:textId="77777777" w:rsidR="00786520" w:rsidRDefault="00786520" w:rsidP="00786520"/>
                              <w:p w14:paraId="58A7A206" w14:textId="77777777" w:rsidR="00786520" w:rsidRDefault="00786520" w:rsidP="00786520"/>
                              <w:p w14:paraId="31FFB54B" w14:textId="77777777" w:rsidR="00786520" w:rsidRDefault="00786520" w:rsidP="00786520"/>
                              <w:p w14:paraId="39DAD46A" w14:textId="77777777" w:rsidR="00786520" w:rsidRDefault="00786520" w:rsidP="00786520"/>
                              <w:p w14:paraId="1B13BC01" w14:textId="77777777" w:rsidR="00786520" w:rsidRDefault="00786520" w:rsidP="00786520"/>
                              <w:p w14:paraId="5F202F81" w14:textId="77777777" w:rsidR="00786520" w:rsidRDefault="00786520" w:rsidP="00786520"/>
                              <w:p w14:paraId="70CB4A17" w14:textId="77777777" w:rsidR="00786520" w:rsidRDefault="00786520" w:rsidP="00786520"/>
                              <w:p w14:paraId="41E65994" w14:textId="77777777" w:rsidR="00786520" w:rsidRDefault="00786520" w:rsidP="00786520"/>
                              <w:p w14:paraId="3D075B1B" w14:textId="77777777" w:rsidR="00786520" w:rsidRDefault="00786520" w:rsidP="00786520"/>
                              <w:p w14:paraId="5E3EFA91" w14:textId="77777777" w:rsidR="00786520" w:rsidRDefault="00786520" w:rsidP="00786520"/>
                              <w:p w14:paraId="311F6BC3" w14:textId="77777777" w:rsidR="00786520" w:rsidRDefault="00786520" w:rsidP="00786520"/>
                              <w:p w14:paraId="1D75DE93" w14:textId="77777777" w:rsidR="00786520" w:rsidRDefault="00786520" w:rsidP="00786520"/>
                              <w:p w14:paraId="4DE872DC" w14:textId="77777777" w:rsidR="00786520" w:rsidRDefault="00786520" w:rsidP="00786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518A8" id="_x0000_t202" coordsize="21600,21600" o:spt="202" path="m,l,21600r21600,l21600,xe">
                    <v:stroke joinstyle="miter"/>
                    <v:path gradientshapeok="t" o:connecttype="rect"/>
                  </v:shapetype>
                  <v:shape id="Text Box 2" o:spid="_x0000_s1028" type="#_x0000_t202" style="position:absolute;margin-left:-8.75pt;margin-top:21.3pt;width:441pt;height:309.8pt;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">
                    <v:textbox>
                      <w:txbxContent>
                        <w:p w14:paraId="4214F59B" w14:textId="77777777" w:rsidR="00786520" w:rsidRPr="004201EC" w:rsidRDefault="00786520" w:rsidP="00786520">
                          <w:pPr>
                            <w:pStyle w:val="BasicParagraph"/>
                            <w:suppressAutoHyphens/>
                            <w:rPr>
                              <w:rFonts w:ascii="Rubik" w:hAnsi="Rubik" w:cs="Rubik Medium"/>
                              <w:b/>
                              <w:bCs/>
                              <w:color w:val="000000" w:themeColor="text1"/>
                              <w:sz w:val="20"/>
                              <w:szCs w:val="20"/>
                            </w:rPr>
                          </w:pPr>
                          <w:r w:rsidRPr="004201EC">
                            <w:rPr>
                              <w:rFonts w:ascii="Rubik" w:hAnsi="Rubik" w:cs="Rubik Medium"/>
                              <w:b/>
                              <w:bCs/>
                              <w:color w:val="000000" w:themeColor="text1"/>
                              <w:sz w:val="20"/>
                              <w:szCs w:val="20"/>
                            </w:rPr>
                            <w:t>Copyright and Disclaimer</w:t>
                          </w:r>
                        </w:p>
                        <w:p w14:paraId="77E5AB33" w14:textId="25B0D7DF" w:rsidR="00786520" w:rsidRPr="004201EC" w:rsidRDefault="00B20461" w:rsidP="00786520">
                          <w:pPr>
                            <w:pStyle w:val="BasicParagraph"/>
                            <w:suppressAutoHyphens/>
                            <w:rPr>
                              <w:rFonts w:ascii="Rubik" w:hAnsi="Rubik" w:cs="Rubik Medium"/>
                              <w:color w:val="000000" w:themeColor="text1"/>
                              <w:sz w:val="20"/>
                              <w:szCs w:val="20"/>
                            </w:rPr>
                          </w:pPr>
                          <w:r>
                            <w:rPr>
                              <w:rFonts w:ascii="Rubik" w:hAnsi="Rubik" w:cs="Rubik Medium" w:hint="cs"/>
                              <w:color w:val="000000" w:themeColor="text1"/>
                              <w:sz w:val="20"/>
                              <w:szCs w:val="20"/>
                            </w:rPr>
                            <w:t xml:space="preserve">This report </w:t>
                          </w:r>
                          <w:r w:rsidR="001F423E">
                            <w:rPr>
                              <w:rFonts w:ascii="Rubik" w:hAnsi="Rubik" w:cs="Rubik Medium"/>
                              <w:color w:val="000000" w:themeColor="text1"/>
                              <w:sz w:val="20"/>
                              <w:szCs w:val="20"/>
                            </w:rPr>
                            <w:t>was</w:t>
                          </w:r>
                          <w:r>
                            <w:rPr>
                              <w:rFonts w:ascii="Rubik" w:hAnsi="Rubik" w:cs="Rubik Medium" w:hint="cs"/>
                              <w:color w:val="000000" w:themeColor="text1"/>
                              <w:sz w:val="20"/>
                              <w:szCs w:val="20"/>
                            </w:rPr>
                            <w:t xml:space="preserve"> commissioned by the National Disability Insurance Agency</w:t>
                          </w:r>
                          <w:r>
                            <w:rPr>
                              <w:rFonts w:ascii="Rubik" w:hAnsi="Rubik" w:cs="Rubik Medium"/>
                              <w:color w:val="000000" w:themeColor="text1"/>
                              <w:sz w:val="20"/>
                              <w:szCs w:val="20"/>
                            </w:rPr>
                            <w:t xml:space="preserve">. </w:t>
                          </w:r>
                          <w:r w:rsidR="00786520" w:rsidRPr="004201EC">
                            <w:rPr>
                              <w:rFonts w:ascii="Rubik" w:hAnsi="Rubik" w:cs="Rubik Medium" w:hint="cs"/>
                              <w:color w:val="000000" w:themeColor="text1"/>
                              <w:sz w:val="20"/>
                              <w:szCs w:val="20"/>
                            </w:rPr>
                            <w:t>Copyright in this review and all the information it contains vests in the National Disability Insurance</w:t>
                          </w:r>
                          <w:r w:rsidR="005303CF">
                            <w:rPr>
                              <w:rFonts w:ascii="Rubik" w:hAnsi="Rubik" w:cs="Rubik Medium"/>
                              <w:color w:val="000000" w:themeColor="text1"/>
                              <w:sz w:val="20"/>
                              <w:szCs w:val="20"/>
                            </w:rPr>
                            <w:t xml:space="preserve"> </w:t>
                          </w:r>
                          <w:bookmarkStart w:id="1" w:name="_GoBack"/>
                          <w:bookmarkEnd w:id="1"/>
                          <w:r w:rsidR="00786520" w:rsidRPr="004201EC">
                            <w:rPr>
                              <w:rFonts w:ascii="Rubik" w:hAnsi="Rubik" w:cs="Rubik Medium" w:hint="cs"/>
                              <w:color w:val="000000" w:themeColor="text1"/>
                              <w:sz w:val="20"/>
                              <w:szCs w:val="20"/>
                            </w:rPr>
                            <w:t>Agency. The National Disability Insurance Agency accepts no responsibility for the accuracy or completeness of any material contained in this review. Further, the National Disability Insurance Agency disclaims all liability to any person in respect of anything, and of the consequences of anything, done or omitted to be done by any such person in reliance, whether wholly or partly, upon any information presented in this review.</w:t>
                          </w:r>
                        </w:p>
                        <w:p w14:paraId="40E5B365" w14:textId="77777777" w:rsidR="00786520" w:rsidRPr="004201EC" w:rsidRDefault="00786520" w:rsidP="00786520">
                          <w:pPr>
                            <w:pStyle w:val="BasicParagraph"/>
                            <w:suppressAutoHyphens/>
                            <w:rPr>
                              <w:rFonts w:ascii="Rubik" w:hAnsi="Rubik" w:cs="Rubik Medium"/>
                              <w:color w:val="000000" w:themeColor="text1"/>
                              <w:sz w:val="20"/>
                              <w:szCs w:val="20"/>
                            </w:rPr>
                          </w:pPr>
                        </w:p>
                        <w:p w14:paraId="47200AE0" w14:textId="200FC6C5" w:rsidR="00786520" w:rsidRPr="004201EC" w:rsidRDefault="00786520" w:rsidP="00786520">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Material in this review is made available on the understanding that the National Disability Insurance Agency is not providing professional advice. Before relying on an</w:t>
                          </w:r>
                          <w:r w:rsidR="00AF7F66">
                            <w:rPr>
                              <w:rFonts w:ascii="Rubik" w:hAnsi="Rubik" w:cs="Rubik Medium" w:hint="cs"/>
                              <w:color w:val="000000" w:themeColor="text1"/>
                              <w:sz w:val="20"/>
                              <w:szCs w:val="20"/>
                            </w:rPr>
                            <w:t>y of the material in this review</w:t>
                          </w:r>
                          <w:r w:rsidRPr="004201EC">
                            <w:rPr>
                              <w:rFonts w:ascii="Rubik" w:hAnsi="Rubik" w:cs="Rubik Medium" w:hint="cs"/>
                              <w:color w:val="000000" w:themeColor="text1"/>
                              <w:sz w:val="20"/>
                              <w:szCs w:val="20"/>
                            </w:rPr>
                            <w:t>, users should obtain appropriate professional advice.</w:t>
                          </w:r>
                        </w:p>
                        <w:p w14:paraId="334DFD68" w14:textId="77777777" w:rsidR="00786520" w:rsidRPr="004201EC" w:rsidRDefault="00786520" w:rsidP="00786520">
                          <w:pPr>
                            <w:pStyle w:val="BasicParagraph"/>
                            <w:suppressAutoHyphens/>
                            <w:rPr>
                              <w:rFonts w:ascii="Rubik" w:hAnsi="Rubik" w:cs="Rubik Medium"/>
                              <w:color w:val="000000" w:themeColor="text1"/>
                              <w:sz w:val="20"/>
                              <w:szCs w:val="20"/>
                            </w:rPr>
                          </w:pPr>
                        </w:p>
                        <w:p w14:paraId="51FF43F0" w14:textId="77777777" w:rsidR="00786520" w:rsidRPr="00347B43" w:rsidRDefault="00786520" w:rsidP="00786520">
                          <w:pPr>
                            <w:pStyle w:val="BasicParagraph"/>
                            <w:suppressAutoHyphens/>
                            <w:rPr>
                              <w:rFonts w:ascii="Rubik" w:hAnsi="Rubik" w:cs="Rubik Medium"/>
                              <w:color w:val="000000" w:themeColor="text1"/>
                              <w:sz w:val="20"/>
                              <w:szCs w:val="20"/>
                            </w:rPr>
                          </w:pPr>
                          <w:r w:rsidRPr="004201EC">
                            <w:rPr>
                              <w:rFonts w:ascii="Rubik" w:hAnsi="Rubik" w:cs="Rubik Medium" w:hint="cs"/>
                              <w:color w:val="000000" w:themeColor="text1"/>
                              <w:sz w:val="20"/>
                              <w:szCs w:val="20"/>
                            </w:rPr>
                            <w:t>Views and recommendations of third parties, which may also be included in this review, do not necessarily reflect the views of the National Disability Insurance Agency, or indicate a commitment to a particular course of action. Links to other internet sites are for your convenience. These links do not constitute endorsement of</w:t>
                          </w:r>
                          <w:r w:rsidRPr="004201EC">
                            <w:rPr>
                              <w:rFonts w:ascii="Rubik" w:hAnsi="Rubik" w:cs="Rubik Medium"/>
                              <w:color w:val="000000" w:themeColor="text1"/>
                              <w:sz w:val="20"/>
                              <w:szCs w:val="20"/>
                            </w:rPr>
                            <w:t xml:space="preserve"> material at those sites, or any associated</w:t>
                          </w:r>
                          <w:r w:rsidRPr="00D872CA">
                            <w:rPr>
                              <w:lang w:val="en-AU"/>
                            </w:rPr>
                            <w:t xml:space="preserve"> </w:t>
                          </w:r>
                          <w:proofErr w:type="spellStart"/>
                          <w:r w:rsidRPr="00347B43">
                            <w:rPr>
                              <w:rFonts w:ascii="Rubik" w:hAnsi="Rubik" w:cs="Rubik Medium"/>
                              <w:color w:val="000000" w:themeColor="text1"/>
                              <w:sz w:val="20"/>
                              <w:szCs w:val="20"/>
                            </w:rPr>
                            <w:t>organisation</w:t>
                          </w:r>
                          <w:proofErr w:type="spellEnd"/>
                          <w:r w:rsidRPr="00347B43">
                            <w:rPr>
                              <w:rFonts w:ascii="Rubik" w:hAnsi="Rubik" w:cs="Rubik Medium"/>
                              <w:color w:val="000000" w:themeColor="text1"/>
                              <w:sz w:val="20"/>
                              <w:szCs w:val="20"/>
                            </w:rPr>
                            <w:t>, product or service.</w:t>
                          </w:r>
                        </w:p>
                        <w:p w14:paraId="48DE4121" w14:textId="77777777" w:rsidR="00786520" w:rsidRPr="004201EC" w:rsidRDefault="00786520" w:rsidP="00786520">
                          <w:pPr>
                            <w:rPr>
                              <w:rFonts w:ascii="Rubik" w:hAnsi="Rubik" w:cs="Rubik"/>
                              <w:szCs w:val="20"/>
                            </w:rPr>
                          </w:pPr>
                        </w:p>
                        <w:p w14:paraId="11755AE5" w14:textId="77777777" w:rsidR="00786520" w:rsidRDefault="00786520" w:rsidP="00786520"/>
                        <w:p w14:paraId="5E2CB6BE" w14:textId="77777777" w:rsidR="00786520" w:rsidRDefault="00786520" w:rsidP="00786520"/>
                        <w:p w14:paraId="746B6FA9" w14:textId="77777777" w:rsidR="00786520" w:rsidRDefault="00786520" w:rsidP="00786520"/>
                        <w:p w14:paraId="58A7A206" w14:textId="77777777" w:rsidR="00786520" w:rsidRDefault="00786520" w:rsidP="00786520"/>
                        <w:p w14:paraId="31FFB54B" w14:textId="77777777" w:rsidR="00786520" w:rsidRDefault="00786520" w:rsidP="00786520"/>
                        <w:p w14:paraId="39DAD46A" w14:textId="77777777" w:rsidR="00786520" w:rsidRDefault="00786520" w:rsidP="00786520"/>
                        <w:p w14:paraId="1B13BC01" w14:textId="77777777" w:rsidR="00786520" w:rsidRDefault="00786520" w:rsidP="00786520"/>
                        <w:p w14:paraId="5F202F81" w14:textId="77777777" w:rsidR="00786520" w:rsidRDefault="00786520" w:rsidP="00786520"/>
                        <w:p w14:paraId="70CB4A17" w14:textId="77777777" w:rsidR="00786520" w:rsidRDefault="00786520" w:rsidP="00786520"/>
                        <w:p w14:paraId="41E65994" w14:textId="77777777" w:rsidR="00786520" w:rsidRDefault="00786520" w:rsidP="00786520"/>
                        <w:p w14:paraId="3D075B1B" w14:textId="77777777" w:rsidR="00786520" w:rsidRDefault="00786520" w:rsidP="00786520"/>
                        <w:p w14:paraId="5E3EFA91" w14:textId="77777777" w:rsidR="00786520" w:rsidRDefault="00786520" w:rsidP="00786520"/>
                        <w:p w14:paraId="311F6BC3" w14:textId="77777777" w:rsidR="00786520" w:rsidRDefault="00786520" w:rsidP="00786520"/>
                        <w:p w14:paraId="1D75DE93" w14:textId="77777777" w:rsidR="00786520" w:rsidRDefault="00786520" w:rsidP="00786520"/>
                        <w:p w14:paraId="4DE872DC" w14:textId="77777777" w:rsidR="00786520" w:rsidRDefault="00786520" w:rsidP="00786520"/>
                      </w:txbxContent>
                    </v:textbox>
                    <w10:wrap type="square"/>
                  </v:shape>
                </w:pict>
              </mc:Fallback>
            </mc:AlternateContent>
          </w:r>
          <w:r w:rsidRPr="00584BCB">
            <w:rPr>
              <w:rFonts w:ascii="Rubik" w:hAnsi="Rubik"/>
              <w:color w:val="000000" w:themeColor="text1"/>
              <w:sz w:val="22"/>
            </w:rPr>
            <w:br w:type="page"/>
          </w:r>
        </w:p>
        <w:p w14:paraId="2C619BBA" w14:textId="77777777" w:rsidR="00514A49" w:rsidRPr="00584BCB" w:rsidRDefault="00514A49" w:rsidP="001274E2">
          <w:pPr>
            <w:pStyle w:val="Identifier"/>
            <w:rPr>
              <w:rFonts w:ascii="Rubik" w:hAnsi="Rubik"/>
              <w:color w:val="000000" w:themeColor="text1"/>
              <w:sz w:val="22"/>
            </w:rPr>
          </w:pPr>
        </w:p>
        <w:p w14:paraId="0D62F7BF" w14:textId="599851F4" w:rsidR="00514A49" w:rsidRPr="00584BCB" w:rsidRDefault="00514A49" w:rsidP="00DF2F10">
          <w:pPr>
            <w:pStyle w:val="Cornergraphic"/>
            <w:framePr w:wrap="around"/>
            <w:rPr>
              <w:rFonts w:ascii="Rubik" w:hAnsi="Rubik"/>
              <w:color w:val="000000" w:themeColor="text1"/>
              <w:sz w:val="22"/>
            </w:rPr>
          </w:pPr>
        </w:p>
        <w:p w14:paraId="7657B55F" w14:textId="587CD177" w:rsidR="00514A49" w:rsidRPr="00584BCB" w:rsidRDefault="001E4FFA">
          <w:pPr>
            <w:spacing w:after="160" w:line="259" w:lineRule="auto"/>
            <w:rPr>
              <w:rFonts w:ascii="Rubik" w:hAnsi="Rubik"/>
              <w:color w:val="000000" w:themeColor="text1"/>
              <w:sz w:val="22"/>
            </w:rPr>
          </w:pPr>
        </w:p>
      </w:sdtContent>
    </w:sdt>
    <w:sdt>
      <w:sdtPr>
        <w:rPr>
          <w:rFonts w:ascii="Rubik Light" w:eastAsiaTheme="minorEastAsia" w:hAnsi="Rubik Light" w:cs="Rubik Light" w:hint="cs"/>
          <w:color w:val="000000" w:themeColor="text1"/>
          <w:sz w:val="22"/>
          <w:szCs w:val="22"/>
          <w:lang w:eastAsia="zh-CN"/>
        </w:rPr>
        <w:id w:val="2077008654"/>
        <w:docPartObj>
          <w:docPartGallery w:val="Table of Contents"/>
          <w:docPartUnique/>
        </w:docPartObj>
      </w:sdtPr>
      <w:sdtEndPr>
        <w:rPr>
          <w:rFonts w:ascii="Rubik" w:hAnsi="Rubik" w:cstheme="minorBidi" w:hint="default"/>
          <w:bCs/>
          <w:noProof/>
        </w:rPr>
      </w:sdtEndPr>
      <w:sdtContent>
        <w:p w14:paraId="1DD5E2E4" w14:textId="763130BB" w:rsidR="001D0D30" w:rsidRPr="00584BCB" w:rsidRDefault="001D0D30" w:rsidP="00BE76F9">
          <w:pPr>
            <w:pStyle w:val="TOCHeading"/>
            <w:rPr>
              <w:rFonts w:ascii="Rubik" w:hAnsi="Rubik" w:cs="Rubik"/>
              <w:bCs/>
              <w:color w:val="000000" w:themeColor="text1"/>
              <w:sz w:val="28"/>
              <w:szCs w:val="28"/>
              <w14:props3d w14:extrusionH="0" w14:contourW="0" w14:prstMaterial="matte"/>
            </w:rPr>
          </w:pPr>
          <w:r w:rsidRPr="00584BCB">
            <w:rPr>
              <w:rFonts w:ascii="Rubik" w:hAnsi="Rubik" w:cs="Rubik" w:hint="cs"/>
              <w:bCs/>
              <w:color w:val="000000" w:themeColor="text1"/>
              <w:sz w:val="28"/>
              <w:szCs w:val="28"/>
              <w14:props3d w14:extrusionH="0" w14:contourW="0" w14:prstMaterial="matte"/>
            </w:rPr>
            <w:t>Con</w:t>
          </w:r>
          <w:r w:rsidR="00D16C60" w:rsidRPr="00584BCB">
            <w:rPr>
              <w:rFonts w:ascii="Rubik" w:hAnsi="Rubik" w:cs="Rubik" w:hint="cs"/>
              <w:bCs/>
              <w:color w:val="000000" w:themeColor="text1"/>
              <w:sz w:val="28"/>
              <w:szCs w:val="28"/>
              <w14:props3d w14:extrusionH="0" w14:contourW="0" w14:prstMaterial="matte"/>
            </w:rPr>
            <w:t>t</w:t>
          </w:r>
          <w:r w:rsidRPr="00584BCB">
            <w:rPr>
              <w:rFonts w:ascii="Rubik" w:hAnsi="Rubik" w:cs="Rubik" w:hint="cs"/>
              <w:bCs/>
              <w:color w:val="000000" w:themeColor="text1"/>
              <w:sz w:val="28"/>
              <w:szCs w:val="28"/>
              <w14:props3d w14:extrusionH="0" w14:contourW="0" w14:prstMaterial="matte"/>
            </w:rPr>
            <w:t>ents</w:t>
          </w:r>
        </w:p>
        <w:p w14:paraId="3FD88A9C" w14:textId="3F51AF80" w:rsidR="00203B18" w:rsidRPr="00584BCB" w:rsidRDefault="001D0D30">
          <w:pPr>
            <w:pStyle w:val="TOC1"/>
            <w:rPr>
              <w:rFonts w:ascii="Rubik" w:hAnsi="Rubik" w:cs="Rubik"/>
              <w:b w:val="0"/>
              <w:noProof/>
              <w:color w:val="000000" w:themeColor="text1"/>
              <w:szCs w:val="24"/>
              <w:lang w:eastAsia="en-GB"/>
            </w:rPr>
          </w:pPr>
          <w:r w:rsidRPr="00584BCB">
            <w:rPr>
              <w:rFonts w:ascii="Rubik" w:hAnsi="Rubik" w:cs="Rubik" w:hint="cs"/>
              <w:b w:val="0"/>
              <w:color w:val="000000" w:themeColor="text1"/>
              <w:sz w:val="22"/>
              <w14:props3d w14:extrusionH="0" w14:contourW="0" w14:prstMaterial="matte"/>
            </w:rPr>
            <w:fldChar w:fldCharType="begin"/>
          </w:r>
          <w:r w:rsidRPr="00584BCB">
            <w:rPr>
              <w:rFonts w:ascii="Rubik" w:hAnsi="Rubik" w:cs="Rubik" w:hint="cs"/>
              <w:b w:val="0"/>
              <w:color w:val="000000" w:themeColor="text1"/>
              <w:sz w:val="22"/>
              <w14:props3d w14:extrusionH="0" w14:contourW="0" w14:prstMaterial="matte"/>
            </w:rPr>
            <w:instrText xml:space="preserve"> TOC \o "1-2" \h \z \u </w:instrText>
          </w:r>
          <w:r w:rsidRPr="00584BCB">
            <w:rPr>
              <w:rFonts w:ascii="Rubik" w:hAnsi="Rubik" w:cs="Rubik" w:hint="cs"/>
              <w:b w:val="0"/>
              <w:color w:val="000000" w:themeColor="text1"/>
              <w:sz w:val="22"/>
              <w14:props3d w14:extrusionH="0" w14:contourW="0" w14:prstMaterial="matte"/>
            </w:rPr>
            <w:fldChar w:fldCharType="separate"/>
          </w:r>
          <w:hyperlink w:anchor="_Toc66716597" w:history="1">
            <w:r w:rsidR="00203B18" w:rsidRPr="00584BCB">
              <w:rPr>
                <w:rStyle w:val="Hyperlink"/>
                <w:rFonts w:ascii="Rubik" w:hAnsi="Rubik" w:cs="Rubik" w:hint="cs"/>
                <w:noProof/>
                <w:color w:val="000000" w:themeColor="text1"/>
              </w:rPr>
              <w:t>Executive Summary</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_Toc66716597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w:t>
            </w:r>
            <w:r w:rsidR="00203B18" w:rsidRPr="00584BCB">
              <w:rPr>
                <w:rFonts w:ascii="Rubik" w:hAnsi="Rubik" w:cs="Rubik" w:hint="cs"/>
                <w:noProof/>
                <w:webHidden/>
                <w:color w:val="000000" w:themeColor="text1"/>
              </w:rPr>
              <w:fldChar w:fldCharType="end"/>
            </w:r>
          </w:hyperlink>
        </w:p>
        <w:p w14:paraId="714A51F1" w14:textId="33898183" w:rsidR="00203B18" w:rsidRPr="00584BCB" w:rsidRDefault="001E4FFA">
          <w:pPr>
            <w:pStyle w:val="TOC1"/>
            <w:rPr>
              <w:rFonts w:ascii="Rubik" w:hAnsi="Rubik" w:cs="Rubik"/>
              <w:b w:val="0"/>
              <w:noProof/>
              <w:color w:val="000000" w:themeColor="text1"/>
              <w:szCs w:val="24"/>
              <w:lang w:eastAsia="en-GB"/>
            </w:rPr>
          </w:pPr>
          <w:hyperlink w:anchor="_Toc66716598" w:history="1">
            <w:r w:rsidR="00203B18" w:rsidRPr="00584BCB">
              <w:rPr>
                <w:rStyle w:val="Hyperlink"/>
                <w:rFonts w:ascii="Rubik" w:hAnsi="Rubik" w:cs="Rubik" w:hint="cs"/>
                <w:noProof/>
                <w:color w:val="000000" w:themeColor="text1"/>
              </w:rPr>
              <w:t>Aim</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_Toc66716598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4</w:t>
            </w:r>
            <w:r w:rsidR="00203B18" w:rsidRPr="00584BCB">
              <w:rPr>
                <w:rFonts w:ascii="Rubik" w:hAnsi="Rubik" w:cs="Rubik" w:hint="cs"/>
                <w:noProof/>
                <w:webHidden/>
                <w:color w:val="000000" w:themeColor="text1"/>
              </w:rPr>
              <w:fldChar w:fldCharType="end"/>
            </w:r>
          </w:hyperlink>
        </w:p>
        <w:p w14:paraId="4B36917F" w14:textId="613CDFD4" w:rsidR="00203B18" w:rsidRPr="00584BCB" w:rsidRDefault="001E4FFA">
          <w:pPr>
            <w:pStyle w:val="TOC1"/>
            <w:rPr>
              <w:rFonts w:ascii="Rubik" w:hAnsi="Rubik" w:cs="Rubik"/>
              <w:b w:val="0"/>
              <w:noProof/>
              <w:color w:val="000000" w:themeColor="text1"/>
              <w:szCs w:val="24"/>
              <w:lang w:eastAsia="en-GB"/>
            </w:rPr>
          </w:pPr>
          <w:hyperlink w:anchor="_Toc66716599" w:history="1">
            <w:r w:rsidR="00203B18" w:rsidRPr="00584BCB">
              <w:rPr>
                <w:rStyle w:val="Hyperlink"/>
                <w:rFonts w:ascii="Rubik" w:hAnsi="Rubik" w:cs="Rubik" w:hint="cs"/>
                <w:noProof/>
                <w:color w:val="000000" w:themeColor="text1"/>
              </w:rPr>
              <w:t>Methodology</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_Toc66716599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4</w:t>
            </w:r>
            <w:r w:rsidR="00203B18" w:rsidRPr="00584BCB">
              <w:rPr>
                <w:rFonts w:ascii="Rubik" w:hAnsi="Rubik" w:cs="Rubik" w:hint="cs"/>
                <w:noProof/>
                <w:webHidden/>
                <w:color w:val="000000" w:themeColor="text1"/>
              </w:rPr>
              <w:fldChar w:fldCharType="end"/>
            </w:r>
          </w:hyperlink>
        </w:p>
        <w:p w14:paraId="07789439" w14:textId="5BE3F91B" w:rsidR="00203B18" w:rsidRPr="00584BCB" w:rsidRDefault="001E4FFA">
          <w:pPr>
            <w:pStyle w:val="TOC2"/>
            <w:rPr>
              <w:rFonts w:ascii="Rubik" w:hAnsi="Rubik" w:cs="Rubik"/>
              <w:noProof/>
              <w:color w:val="000000" w:themeColor="text1"/>
              <w:szCs w:val="24"/>
              <w:lang w:eastAsia="en-GB"/>
            </w:rPr>
          </w:pPr>
          <w:hyperlink w:anchor="_Toc66716600" w:history="1">
            <w:r w:rsidR="00203B18" w:rsidRPr="00584BCB">
              <w:rPr>
                <w:rStyle w:val="Hyperlink"/>
                <w:rFonts w:ascii="Rubik" w:hAnsi="Rubik" w:cs="Rubik" w:hint="cs"/>
                <w:bCs/>
                <w:noProof/>
                <w:color w:val="000000" w:themeColor="text1"/>
              </w:rPr>
              <w:t>Registration</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_Toc66716600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4</w:t>
            </w:r>
            <w:r w:rsidR="00203B18" w:rsidRPr="00584BCB">
              <w:rPr>
                <w:rFonts w:ascii="Rubik" w:hAnsi="Rubik" w:cs="Rubik" w:hint="cs"/>
                <w:noProof/>
                <w:webHidden/>
                <w:color w:val="000000" w:themeColor="text1"/>
              </w:rPr>
              <w:fldChar w:fldCharType="end"/>
            </w:r>
          </w:hyperlink>
        </w:p>
        <w:p w14:paraId="37DB1571" w14:textId="099FEFD7" w:rsidR="00203B18" w:rsidRPr="00584BCB" w:rsidRDefault="001E4FFA">
          <w:pPr>
            <w:pStyle w:val="TOC2"/>
            <w:rPr>
              <w:rFonts w:ascii="Rubik" w:hAnsi="Rubik" w:cs="Rubik"/>
              <w:noProof/>
              <w:color w:val="000000" w:themeColor="text1"/>
              <w:szCs w:val="24"/>
              <w:lang w:eastAsia="en-GB"/>
            </w:rPr>
          </w:pPr>
          <w:hyperlink w:anchor="_Toc66716601" w:history="1">
            <w:r w:rsidR="00203B18" w:rsidRPr="00584BCB">
              <w:rPr>
                <w:rStyle w:val="Hyperlink"/>
                <w:rFonts w:ascii="Rubik" w:hAnsi="Rubik" w:cs="Rubik" w:hint="cs"/>
                <w:bCs/>
                <w:noProof/>
                <w:color w:val="000000" w:themeColor="text1"/>
              </w:rPr>
              <w:t>Eligibility Criteria</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_Toc66716601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4</w:t>
            </w:r>
            <w:r w:rsidR="00203B18" w:rsidRPr="00584BCB">
              <w:rPr>
                <w:rFonts w:ascii="Rubik" w:hAnsi="Rubik" w:cs="Rubik" w:hint="cs"/>
                <w:noProof/>
                <w:webHidden/>
                <w:color w:val="000000" w:themeColor="text1"/>
              </w:rPr>
              <w:fldChar w:fldCharType="end"/>
            </w:r>
          </w:hyperlink>
        </w:p>
        <w:p w14:paraId="6AD25582" w14:textId="7FD43EDB" w:rsidR="00203B18" w:rsidRPr="00584BCB" w:rsidRDefault="001E4FFA">
          <w:pPr>
            <w:pStyle w:val="TOC2"/>
            <w:rPr>
              <w:rFonts w:ascii="Rubik" w:hAnsi="Rubik" w:cs="Rubik"/>
              <w:noProof/>
              <w:color w:val="000000" w:themeColor="text1"/>
              <w:szCs w:val="24"/>
              <w:lang w:eastAsia="en-GB"/>
            </w:rPr>
          </w:pPr>
          <w:hyperlink w:anchor="_Toc66716602" w:history="1">
            <w:r w:rsidR="00203B18" w:rsidRPr="00584BCB">
              <w:rPr>
                <w:rStyle w:val="Hyperlink"/>
                <w:rFonts w:ascii="Rubik" w:hAnsi="Rubik" w:cs="Rubik" w:hint="cs"/>
                <w:bCs/>
                <w:noProof/>
                <w:color w:val="000000" w:themeColor="text1"/>
              </w:rPr>
              <w:t>Search Strategy</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_Toc66716602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5</w:t>
            </w:r>
            <w:r w:rsidR="00203B18" w:rsidRPr="00584BCB">
              <w:rPr>
                <w:rFonts w:ascii="Rubik" w:hAnsi="Rubik" w:cs="Rubik" w:hint="cs"/>
                <w:noProof/>
                <w:webHidden/>
                <w:color w:val="000000" w:themeColor="text1"/>
              </w:rPr>
              <w:fldChar w:fldCharType="end"/>
            </w:r>
          </w:hyperlink>
        </w:p>
        <w:p w14:paraId="222744AE" w14:textId="51E65CEC" w:rsidR="00203B18" w:rsidRPr="00584BCB" w:rsidRDefault="001E4FFA">
          <w:pPr>
            <w:pStyle w:val="TOC2"/>
            <w:rPr>
              <w:rFonts w:ascii="Rubik" w:hAnsi="Rubik" w:cs="Rubik"/>
              <w:noProof/>
              <w:color w:val="000000" w:themeColor="text1"/>
              <w:szCs w:val="24"/>
              <w:lang w:eastAsia="en-GB"/>
            </w:rPr>
          </w:pPr>
          <w:hyperlink w:anchor="_Toc66716603" w:history="1">
            <w:r w:rsidR="00203B18" w:rsidRPr="00584BCB">
              <w:rPr>
                <w:rStyle w:val="Hyperlink"/>
                <w:rFonts w:ascii="Rubik" w:hAnsi="Rubik" w:cs="Rubik" w:hint="cs"/>
                <w:bCs/>
                <w:noProof/>
                <w:color w:val="000000" w:themeColor="text1"/>
              </w:rPr>
              <w:t>Outcome measures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_Toc66716603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5</w:t>
            </w:r>
            <w:r w:rsidR="00203B18" w:rsidRPr="00584BCB">
              <w:rPr>
                <w:rFonts w:ascii="Rubik" w:hAnsi="Rubik" w:cs="Rubik" w:hint="cs"/>
                <w:noProof/>
                <w:webHidden/>
                <w:color w:val="000000" w:themeColor="text1"/>
              </w:rPr>
              <w:fldChar w:fldCharType="end"/>
            </w:r>
          </w:hyperlink>
        </w:p>
        <w:p w14:paraId="578282C7" w14:textId="5D6A7202" w:rsidR="00203B18" w:rsidRPr="00584BCB" w:rsidRDefault="001E4FFA">
          <w:pPr>
            <w:pStyle w:val="TOC2"/>
            <w:rPr>
              <w:rFonts w:ascii="Rubik" w:hAnsi="Rubik" w:cs="Rubik"/>
              <w:noProof/>
              <w:color w:val="000000" w:themeColor="text1"/>
              <w:szCs w:val="24"/>
              <w:lang w:eastAsia="en-GB"/>
            </w:rPr>
          </w:pPr>
          <w:hyperlink w:anchor="_Toc66716604" w:history="1">
            <w:r w:rsidR="00203B18" w:rsidRPr="00584BCB">
              <w:rPr>
                <w:rStyle w:val="Hyperlink"/>
                <w:rFonts w:ascii="Rubik" w:hAnsi="Rubik" w:cs="Rubik" w:hint="cs"/>
                <w:bCs/>
                <w:noProof/>
                <w:color w:val="000000" w:themeColor="text1"/>
              </w:rPr>
              <w:t>Data extraction</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_Toc66716604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5</w:t>
            </w:r>
            <w:r w:rsidR="00203B18" w:rsidRPr="00584BCB">
              <w:rPr>
                <w:rFonts w:ascii="Rubik" w:hAnsi="Rubik" w:cs="Rubik" w:hint="cs"/>
                <w:noProof/>
                <w:webHidden/>
                <w:color w:val="000000" w:themeColor="text1"/>
              </w:rPr>
              <w:fldChar w:fldCharType="end"/>
            </w:r>
          </w:hyperlink>
        </w:p>
        <w:p w14:paraId="44DFF5A4" w14:textId="63637546" w:rsidR="00203B18" w:rsidRPr="00584BCB" w:rsidRDefault="001E4FFA">
          <w:pPr>
            <w:pStyle w:val="TOC2"/>
            <w:rPr>
              <w:rFonts w:ascii="Rubik" w:hAnsi="Rubik" w:cs="Rubik"/>
              <w:noProof/>
              <w:color w:val="000000" w:themeColor="text1"/>
              <w:szCs w:val="24"/>
              <w:lang w:eastAsia="en-GB"/>
            </w:rPr>
          </w:pPr>
          <w:hyperlink w:anchor="_Toc66716605" w:history="1">
            <w:r w:rsidR="00203B18" w:rsidRPr="00584BCB">
              <w:rPr>
                <w:rStyle w:val="Hyperlink"/>
                <w:rFonts w:ascii="Rubik" w:hAnsi="Rubik" w:cs="Rubik" w:hint="cs"/>
                <w:bCs/>
                <w:noProof/>
                <w:color w:val="000000" w:themeColor="text1"/>
              </w:rPr>
              <w:t>Assessment of Risk of Bias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_Toc66716605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6</w:t>
            </w:r>
            <w:r w:rsidR="00203B18" w:rsidRPr="00584BCB">
              <w:rPr>
                <w:rFonts w:ascii="Rubik" w:hAnsi="Rubik" w:cs="Rubik" w:hint="cs"/>
                <w:noProof/>
                <w:webHidden/>
                <w:color w:val="000000" w:themeColor="text1"/>
              </w:rPr>
              <w:fldChar w:fldCharType="end"/>
            </w:r>
          </w:hyperlink>
        </w:p>
        <w:p w14:paraId="5EDF7D40" w14:textId="512126E5" w:rsidR="00203B18" w:rsidRPr="00584BCB" w:rsidRDefault="001E4FFA">
          <w:pPr>
            <w:pStyle w:val="TOC2"/>
            <w:rPr>
              <w:rFonts w:ascii="Rubik" w:hAnsi="Rubik" w:cs="Rubik"/>
              <w:noProof/>
              <w:color w:val="000000" w:themeColor="text1"/>
              <w:szCs w:val="24"/>
              <w:lang w:eastAsia="en-GB"/>
            </w:rPr>
          </w:pPr>
          <w:hyperlink w:anchor="_Toc66716606" w:history="1">
            <w:r w:rsidR="00203B18" w:rsidRPr="00584BCB">
              <w:rPr>
                <w:rStyle w:val="Hyperlink"/>
                <w:rFonts w:ascii="Rubik" w:hAnsi="Rubik" w:cs="Rubik" w:hint="cs"/>
                <w:bCs/>
                <w:noProof/>
                <w:color w:val="000000" w:themeColor="text1"/>
              </w:rPr>
              <w:t>Data synthesis and analysis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_Toc66716606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6</w:t>
            </w:r>
            <w:r w:rsidR="00203B18" w:rsidRPr="00584BCB">
              <w:rPr>
                <w:rFonts w:ascii="Rubik" w:hAnsi="Rubik" w:cs="Rubik" w:hint="cs"/>
                <w:noProof/>
                <w:webHidden/>
                <w:color w:val="000000" w:themeColor="text1"/>
              </w:rPr>
              <w:fldChar w:fldCharType="end"/>
            </w:r>
          </w:hyperlink>
        </w:p>
        <w:p w14:paraId="3ED4F6F0" w14:textId="0A61844B" w:rsidR="00203B18" w:rsidRPr="00584BCB" w:rsidRDefault="001E4FFA">
          <w:pPr>
            <w:pStyle w:val="TOC1"/>
            <w:rPr>
              <w:rFonts w:ascii="Rubik" w:hAnsi="Rubik" w:cs="Rubik"/>
              <w:b w:val="0"/>
              <w:noProof/>
              <w:color w:val="000000" w:themeColor="text1"/>
              <w:szCs w:val="24"/>
              <w:lang w:eastAsia="en-GB"/>
            </w:rPr>
          </w:pPr>
          <w:hyperlink w:anchor="_Toc66716607" w:history="1">
            <w:r w:rsidR="00203B18" w:rsidRPr="00584BCB">
              <w:rPr>
                <w:rStyle w:val="Hyperlink"/>
                <w:rFonts w:ascii="Rubik" w:hAnsi="Rubik" w:cs="Rubik" w:hint="cs"/>
                <w:noProof/>
                <w:color w:val="000000" w:themeColor="text1"/>
              </w:rPr>
              <w:t>Results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_Toc66716607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6</w:t>
            </w:r>
            <w:r w:rsidR="00203B18" w:rsidRPr="00584BCB">
              <w:rPr>
                <w:rFonts w:ascii="Rubik" w:hAnsi="Rubik" w:cs="Rubik" w:hint="cs"/>
                <w:noProof/>
                <w:webHidden/>
                <w:color w:val="000000" w:themeColor="text1"/>
              </w:rPr>
              <w:fldChar w:fldCharType="end"/>
            </w:r>
          </w:hyperlink>
        </w:p>
        <w:p w14:paraId="0B12243E" w14:textId="32166226" w:rsidR="00203B18" w:rsidRPr="00584BCB" w:rsidRDefault="001E4FFA">
          <w:pPr>
            <w:pStyle w:val="TOC2"/>
            <w:rPr>
              <w:rFonts w:ascii="Rubik" w:hAnsi="Rubik" w:cs="Rubik"/>
              <w:noProof/>
              <w:color w:val="000000" w:themeColor="text1"/>
              <w:szCs w:val="24"/>
              <w:lang w:eastAsia="en-GB"/>
            </w:rPr>
          </w:pPr>
          <w:hyperlink w:anchor="_Toc66716608" w:history="1">
            <w:r w:rsidR="00203B18" w:rsidRPr="00584BCB">
              <w:rPr>
                <w:rStyle w:val="Hyperlink"/>
                <w:rFonts w:ascii="Rubik" w:hAnsi="Rubik" w:cs="Rubik" w:hint="cs"/>
                <w:bCs/>
                <w:noProof/>
                <w:color w:val="000000" w:themeColor="text1"/>
              </w:rPr>
              <w:t>Study Selection</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_Toc66716608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6</w:t>
            </w:r>
            <w:r w:rsidR="00203B18" w:rsidRPr="00584BCB">
              <w:rPr>
                <w:rFonts w:ascii="Rubik" w:hAnsi="Rubik" w:cs="Rubik" w:hint="cs"/>
                <w:noProof/>
                <w:webHidden/>
                <w:color w:val="000000" w:themeColor="text1"/>
              </w:rPr>
              <w:fldChar w:fldCharType="end"/>
            </w:r>
          </w:hyperlink>
        </w:p>
        <w:p w14:paraId="520503D6" w14:textId="2F8B5E75" w:rsidR="00203B18" w:rsidRPr="00584BCB" w:rsidRDefault="001E4FFA">
          <w:pPr>
            <w:pStyle w:val="TOC1"/>
            <w:rPr>
              <w:rFonts w:ascii="Rubik" w:hAnsi="Rubik" w:cs="Rubik"/>
              <w:b w:val="0"/>
              <w:noProof/>
              <w:color w:val="000000" w:themeColor="text1"/>
              <w:szCs w:val="24"/>
              <w:lang w:eastAsia="en-GB"/>
            </w:rPr>
          </w:pPr>
          <w:hyperlink w:anchor="_Toc66716609" w:history="1">
            <w:r w:rsidR="00203B18" w:rsidRPr="00584BCB">
              <w:rPr>
                <w:rStyle w:val="Hyperlink"/>
                <w:rFonts w:ascii="Rubik" w:hAnsi="Rubik" w:cs="Rubik" w:hint="cs"/>
                <w:noProof/>
                <w:color w:val="000000" w:themeColor="text1"/>
              </w:rPr>
              <w:t>Study and participant characteristics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_Toc66716609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9</w:t>
            </w:r>
            <w:r w:rsidR="00203B18" w:rsidRPr="00584BCB">
              <w:rPr>
                <w:rFonts w:ascii="Rubik" w:hAnsi="Rubik" w:cs="Rubik" w:hint="cs"/>
                <w:noProof/>
                <w:webHidden/>
                <w:color w:val="000000" w:themeColor="text1"/>
              </w:rPr>
              <w:fldChar w:fldCharType="end"/>
            </w:r>
          </w:hyperlink>
        </w:p>
        <w:p w14:paraId="2571141E" w14:textId="703AAF12" w:rsidR="00203B18" w:rsidRPr="00584BCB" w:rsidRDefault="001E4FFA">
          <w:pPr>
            <w:pStyle w:val="TOC1"/>
            <w:rPr>
              <w:rFonts w:ascii="Rubik" w:hAnsi="Rubik" w:cs="Rubik"/>
              <w:b w:val="0"/>
              <w:noProof/>
              <w:color w:val="000000" w:themeColor="text1"/>
              <w:szCs w:val="24"/>
              <w:lang w:eastAsia="en-GB"/>
            </w:rPr>
          </w:pPr>
          <w:hyperlink w:anchor="_Toc66716610" w:history="1">
            <w:r w:rsidR="00203B18" w:rsidRPr="00584BCB">
              <w:rPr>
                <w:rStyle w:val="Hyperlink"/>
                <w:rFonts w:ascii="Rubik" w:hAnsi="Rubik" w:cs="Rubik" w:hint="cs"/>
                <w:noProof/>
                <w:color w:val="000000" w:themeColor="text1"/>
              </w:rPr>
              <w:t>Synthesis of effects – primary outcome of this review</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_Toc66716610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12</w:t>
            </w:r>
            <w:r w:rsidR="00203B18" w:rsidRPr="00584BCB">
              <w:rPr>
                <w:rFonts w:ascii="Rubik" w:hAnsi="Rubik" w:cs="Rubik" w:hint="cs"/>
                <w:noProof/>
                <w:webHidden/>
                <w:color w:val="000000" w:themeColor="text1"/>
              </w:rPr>
              <w:fldChar w:fldCharType="end"/>
            </w:r>
          </w:hyperlink>
        </w:p>
        <w:p w14:paraId="7E1D8189" w14:textId="4D8DB16D" w:rsidR="00203B18" w:rsidRPr="00584BCB" w:rsidRDefault="001E4FFA">
          <w:pPr>
            <w:pStyle w:val="TOC1"/>
            <w:rPr>
              <w:rFonts w:ascii="Rubik" w:hAnsi="Rubik" w:cs="Rubik"/>
              <w:b w:val="0"/>
              <w:noProof/>
              <w:color w:val="000000" w:themeColor="text1"/>
              <w:szCs w:val="24"/>
              <w:lang w:eastAsia="en-GB"/>
            </w:rPr>
          </w:pPr>
          <w:hyperlink w:anchor="_Toc66716611" w:history="1">
            <w:r w:rsidR="00203B18" w:rsidRPr="00584BCB">
              <w:rPr>
                <w:rStyle w:val="Hyperlink"/>
                <w:rFonts w:ascii="Rubik" w:hAnsi="Rubik" w:cs="Rubik" w:hint="cs"/>
                <w:noProof/>
                <w:color w:val="000000" w:themeColor="text1"/>
              </w:rPr>
              <w:t>Synthesis of effects – secondary outcomes of this review</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_Toc66716611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13</w:t>
            </w:r>
            <w:r w:rsidR="00203B18" w:rsidRPr="00584BCB">
              <w:rPr>
                <w:rFonts w:ascii="Rubik" w:hAnsi="Rubik" w:cs="Rubik" w:hint="cs"/>
                <w:noProof/>
                <w:webHidden/>
                <w:color w:val="000000" w:themeColor="text1"/>
              </w:rPr>
              <w:fldChar w:fldCharType="end"/>
            </w:r>
          </w:hyperlink>
        </w:p>
        <w:p w14:paraId="4CFF5F47" w14:textId="4FA04247" w:rsidR="00203B18" w:rsidRPr="00584BCB" w:rsidRDefault="001E4FFA">
          <w:pPr>
            <w:pStyle w:val="TOC1"/>
            <w:rPr>
              <w:rFonts w:ascii="Rubik" w:hAnsi="Rubik" w:cs="Rubik"/>
              <w:b w:val="0"/>
              <w:noProof/>
              <w:color w:val="000000" w:themeColor="text1"/>
              <w:szCs w:val="24"/>
              <w:lang w:eastAsia="en-GB"/>
            </w:rPr>
          </w:pPr>
          <w:hyperlink w:anchor="_Toc66716612" w:history="1">
            <w:r w:rsidR="00203B18" w:rsidRPr="00584BCB">
              <w:rPr>
                <w:rStyle w:val="Hyperlink"/>
                <w:rFonts w:ascii="Rubik" w:hAnsi="Rubik" w:cs="Rubik" w:hint="cs"/>
                <w:noProof/>
                <w:color w:val="000000" w:themeColor="text1"/>
              </w:rPr>
              <w:t>Risk of bias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_Toc66716612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13</w:t>
            </w:r>
            <w:r w:rsidR="00203B18" w:rsidRPr="00584BCB">
              <w:rPr>
                <w:rFonts w:ascii="Rubik" w:hAnsi="Rubik" w:cs="Rubik" w:hint="cs"/>
                <w:noProof/>
                <w:webHidden/>
                <w:color w:val="000000" w:themeColor="text1"/>
              </w:rPr>
              <w:fldChar w:fldCharType="end"/>
            </w:r>
          </w:hyperlink>
        </w:p>
        <w:p w14:paraId="7BF70007" w14:textId="1804575F" w:rsidR="00203B18" w:rsidRPr="00584BCB" w:rsidRDefault="001E4FFA">
          <w:pPr>
            <w:pStyle w:val="TOC1"/>
            <w:rPr>
              <w:rFonts w:ascii="Rubik" w:hAnsi="Rubik" w:cs="Rubik"/>
              <w:b w:val="0"/>
              <w:noProof/>
              <w:color w:val="000000" w:themeColor="text1"/>
              <w:szCs w:val="24"/>
              <w:lang w:eastAsia="en-GB"/>
            </w:rPr>
          </w:pPr>
          <w:hyperlink w:anchor="_Toc66716613" w:history="1">
            <w:r w:rsidR="00203B18" w:rsidRPr="00584BCB">
              <w:rPr>
                <w:rStyle w:val="Hyperlink"/>
                <w:rFonts w:ascii="Rubik" w:hAnsi="Rubik" w:cs="Rubik" w:hint="cs"/>
                <w:noProof/>
                <w:color w:val="000000" w:themeColor="text1"/>
              </w:rPr>
              <w:t>Summary of results and conclusion</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_Toc66716613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15</w:t>
            </w:r>
            <w:r w:rsidR="00203B18" w:rsidRPr="00584BCB">
              <w:rPr>
                <w:rFonts w:ascii="Rubik" w:hAnsi="Rubik" w:cs="Rubik" w:hint="cs"/>
                <w:noProof/>
                <w:webHidden/>
                <w:color w:val="000000" w:themeColor="text1"/>
              </w:rPr>
              <w:fldChar w:fldCharType="end"/>
            </w:r>
          </w:hyperlink>
        </w:p>
        <w:p w14:paraId="4DC9198F" w14:textId="417EA51F" w:rsidR="00203B18" w:rsidRPr="00584BCB" w:rsidRDefault="001E4FFA">
          <w:pPr>
            <w:pStyle w:val="TOC1"/>
            <w:rPr>
              <w:rFonts w:ascii="Rubik" w:hAnsi="Rubik" w:cs="Rubik"/>
              <w:b w:val="0"/>
              <w:noProof/>
              <w:color w:val="000000" w:themeColor="text1"/>
              <w:szCs w:val="24"/>
              <w:lang w:eastAsia="en-GB"/>
            </w:rPr>
          </w:pPr>
          <w:hyperlink w:anchor="_Toc66716614" w:history="1">
            <w:r w:rsidR="00203B18" w:rsidRPr="00584BCB">
              <w:rPr>
                <w:rStyle w:val="Hyperlink"/>
                <w:rFonts w:ascii="Rubik" w:hAnsi="Rubik" w:cs="Rubik" w:hint="cs"/>
                <w:noProof/>
                <w:color w:val="000000" w:themeColor="text1"/>
              </w:rPr>
              <w:t>References</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_Toc66716614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16</w:t>
            </w:r>
            <w:r w:rsidR="00203B18" w:rsidRPr="00584BCB">
              <w:rPr>
                <w:rFonts w:ascii="Rubik" w:hAnsi="Rubik" w:cs="Rubik" w:hint="cs"/>
                <w:noProof/>
                <w:webHidden/>
                <w:color w:val="000000" w:themeColor="text1"/>
              </w:rPr>
              <w:fldChar w:fldCharType="end"/>
            </w:r>
          </w:hyperlink>
        </w:p>
        <w:p w14:paraId="36E65718" w14:textId="1746C7F9" w:rsidR="00203B18" w:rsidRPr="00584BCB" w:rsidRDefault="001E4FFA">
          <w:pPr>
            <w:pStyle w:val="TOC1"/>
            <w:rPr>
              <w:rFonts w:ascii="Rubik" w:hAnsi="Rubik" w:cs="Rubik"/>
              <w:b w:val="0"/>
              <w:noProof/>
              <w:color w:val="000000" w:themeColor="text1"/>
              <w:szCs w:val="24"/>
              <w:lang w:eastAsia="en-GB"/>
            </w:rPr>
          </w:pPr>
          <w:hyperlink w:anchor="_Toc66716615" w:history="1">
            <w:r w:rsidR="00203B18" w:rsidRPr="00584BCB">
              <w:rPr>
                <w:rStyle w:val="Hyperlink"/>
                <w:rFonts w:ascii="Rubik" w:hAnsi="Rubik" w:cs="Rubik" w:hint="cs"/>
                <w:noProof/>
                <w:color w:val="000000" w:themeColor="text1"/>
              </w:rPr>
              <w:t>Supplementary file 1: diagnostic criteria</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_Toc66716615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50</w:t>
            </w:r>
            <w:r w:rsidR="00203B18" w:rsidRPr="00584BCB">
              <w:rPr>
                <w:rFonts w:ascii="Rubik" w:hAnsi="Rubik" w:cs="Rubik" w:hint="cs"/>
                <w:noProof/>
                <w:webHidden/>
                <w:color w:val="000000" w:themeColor="text1"/>
              </w:rPr>
              <w:fldChar w:fldCharType="end"/>
            </w:r>
          </w:hyperlink>
        </w:p>
        <w:p w14:paraId="3DA80CE2" w14:textId="79A983ED" w:rsidR="00203B18" w:rsidRPr="00584BCB" w:rsidRDefault="001E4FFA">
          <w:pPr>
            <w:pStyle w:val="TOC1"/>
            <w:rPr>
              <w:rFonts w:ascii="Rubik" w:hAnsi="Rubik" w:cs="Rubik"/>
              <w:b w:val="0"/>
              <w:noProof/>
              <w:color w:val="000000" w:themeColor="text1"/>
              <w:szCs w:val="24"/>
              <w:lang w:eastAsia="en-GB"/>
            </w:rPr>
          </w:pPr>
          <w:hyperlink w:anchor="_Toc66716616" w:history="1">
            <w:r w:rsidR="00203B18" w:rsidRPr="00584BCB">
              <w:rPr>
                <w:rStyle w:val="Hyperlink"/>
                <w:rFonts w:ascii="Rubik" w:hAnsi="Rubik" w:cs="Rubik" w:hint="cs"/>
                <w:noProof/>
                <w:color w:val="000000" w:themeColor="text1"/>
              </w:rPr>
              <w:t>Supplementary file 2: Systematic Review Search Strategy</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_Toc66716616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51</w:t>
            </w:r>
            <w:r w:rsidR="00203B18" w:rsidRPr="00584BCB">
              <w:rPr>
                <w:rFonts w:ascii="Rubik" w:hAnsi="Rubik" w:cs="Rubik" w:hint="cs"/>
                <w:noProof/>
                <w:webHidden/>
                <w:color w:val="000000" w:themeColor="text1"/>
              </w:rPr>
              <w:fldChar w:fldCharType="end"/>
            </w:r>
          </w:hyperlink>
        </w:p>
        <w:p w14:paraId="59010C22" w14:textId="6399C7F4" w:rsidR="00203B18" w:rsidRPr="00584BCB" w:rsidRDefault="001E4FFA">
          <w:pPr>
            <w:pStyle w:val="TOC1"/>
            <w:rPr>
              <w:rFonts w:ascii="Rubik" w:hAnsi="Rubik" w:cs="Rubik"/>
              <w:b w:val="0"/>
              <w:noProof/>
              <w:color w:val="000000" w:themeColor="text1"/>
              <w:szCs w:val="24"/>
              <w:lang w:eastAsia="en-GB"/>
            </w:rPr>
          </w:pPr>
          <w:hyperlink w:anchor="_Toc66716618" w:history="1">
            <w:r w:rsidR="00203B18" w:rsidRPr="00584BCB">
              <w:rPr>
                <w:rStyle w:val="Hyperlink"/>
                <w:rFonts w:ascii="Rubik" w:hAnsi="Rubik" w:cs="Rubik" w:hint="cs"/>
                <w:bCs/>
                <w:noProof/>
                <w:color w:val="000000" w:themeColor="text1"/>
              </w:rPr>
              <w:t>Further information</w:t>
            </w:r>
            <w:r w:rsidR="00203B18" w:rsidRPr="00584BCB">
              <w:rPr>
                <w:rFonts w:ascii="Rubik" w:hAnsi="Rubik" w:cs="Rubik" w:hint="cs"/>
                <w:noProof/>
                <w:webHidden/>
                <w:color w:val="000000" w:themeColor="text1"/>
              </w:rPr>
              <w:tab/>
            </w:r>
            <w:r w:rsidR="00203B18" w:rsidRPr="00584BCB">
              <w:rPr>
                <w:rFonts w:ascii="Rubik" w:hAnsi="Rubik" w:cs="Rubik" w:hint="cs"/>
                <w:noProof/>
                <w:webHidden/>
                <w:color w:val="000000" w:themeColor="text1"/>
              </w:rPr>
              <w:fldChar w:fldCharType="begin"/>
            </w:r>
            <w:r w:rsidR="00203B18" w:rsidRPr="00584BCB">
              <w:rPr>
                <w:rFonts w:ascii="Rubik" w:hAnsi="Rubik" w:cs="Rubik" w:hint="cs"/>
                <w:noProof/>
                <w:webHidden/>
                <w:color w:val="000000" w:themeColor="text1"/>
              </w:rPr>
              <w:instrText xml:space="preserve"> PAGEREF _Toc66716618 \h </w:instrText>
            </w:r>
            <w:r w:rsidR="00203B18" w:rsidRPr="00584BCB">
              <w:rPr>
                <w:rFonts w:ascii="Rubik" w:hAnsi="Rubik" w:cs="Rubik" w:hint="cs"/>
                <w:noProof/>
                <w:webHidden/>
                <w:color w:val="000000" w:themeColor="text1"/>
              </w:rPr>
            </w:r>
            <w:r w:rsidR="00203B18" w:rsidRPr="00584BCB">
              <w:rPr>
                <w:rFonts w:ascii="Rubik" w:hAnsi="Rubik" w:cs="Rubik" w:hint="cs"/>
                <w:noProof/>
                <w:webHidden/>
                <w:color w:val="000000" w:themeColor="text1"/>
              </w:rPr>
              <w:fldChar w:fldCharType="separate"/>
            </w:r>
            <w:r w:rsidR="00300BC4" w:rsidRPr="00584BCB">
              <w:rPr>
                <w:rFonts w:ascii="Rubik" w:hAnsi="Rubik" w:cs="Rubik"/>
                <w:noProof/>
                <w:webHidden/>
                <w:color w:val="000000" w:themeColor="text1"/>
              </w:rPr>
              <w:t>64</w:t>
            </w:r>
            <w:r w:rsidR="00203B18" w:rsidRPr="00584BCB">
              <w:rPr>
                <w:rFonts w:ascii="Rubik" w:hAnsi="Rubik" w:cs="Rubik" w:hint="cs"/>
                <w:noProof/>
                <w:webHidden/>
                <w:color w:val="000000" w:themeColor="text1"/>
              </w:rPr>
              <w:fldChar w:fldCharType="end"/>
            </w:r>
          </w:hyperlink>
        </w:p>
        <w:p w14:paraId="23A84D02" w14:textId="39B45720" w:rsidR="00A90DDB" w:rsidRPr="00584BCB" w:rsidRDefault="001D0D30" w:rsidP="00D16C60">
          <w:pPr>
            <w:pStyle w:val="TOC1"/>
            <w:rPr>
              <w:rFonts w:ascii="Rubik" w:hAnsi="Rubik"/>
              <w:bCs/>
              <w:noProof/>
              <w:color w:val="000000" w:themeColor="text1"/>
              <w:sz w:val="22"/>
            </w:rPr>
          </w:pPr>
          <w:r w:rsidRPr="00584BCB">
            <w:rPr>
              <w:rFonts w:ascii="Rubik" w:eastAsia="SimHei" w:hAnsi="Rubik" w:cs="Rubik" w:hint="cs"/>
              <w:b w:val="0"/>
              <w:color w:val="000000" w:themeColor="text1"/>
              <w:sz w:val="22"/>
              <w14:props3d w14:extrusionH="0" w14:contourW="0" w14:prstMaterial="matte"/>
            </w:rPr>
            <w:fldChar w:fldCharType="end"/>
          </w:r>
        </w:p>
      </w:sdtContent>
    </w:sdt>
    <w:bookmarkStart w:id="0" w:name="_Toc63456333" w:displacedByCustomXml="prev"/>
    <w:bookmarkStart w:id="1" w:name="_Toc63699541" w:displacedByCustomXml="prev"/>
    <w:bookmarkStart w:id="2" w:name="_Toc63786656" w:displacedByCustomXml="prev"/>
    <w:bookmarkStart w:id="3" w:name="_Toc65773772" w:displacedByCustomXml="prev"/>
    <w:bookmarkStart w:id="4" w:name="_Toc87418335" w:displacedByCustomXml="prev"/>
    <w:bookmarkStart w:id="5" w:name="_Toc103658819" w:displacedByCustomXml="prev"/>
    <w:bookmarkStart w:id="6" w:name="_AGSRef91616398" w:displacedByCustomXml="prev"/>
    <w:bookmarkStart w:id="7" w:name="_AGSRef46298003" w:displacedByCustomXml="prev"/>
    <w:bookmarkStart w:id="8" w:name="_AGSRef35347265" w:displacedByCustomXml="prev"/>
    <w:bookmarkStart w:id="9" w:name="_AGSRef15566307" w:displacedByCustomXml="prev"/>
    <w:bookmarkStart w:id="10" w:name="_AGSRef47445917" w:displacedByCustomXml="prev"/>
    <w:bookmarkStart w:id="11" w:name="_AGSRef54207020" w:displacedByCustomXml="prev"/>
    <w:bookmarkStart w:id="12" w:name="_AGSRef32271766" w:displacedByCustomXml="prev"/>
    <w:bookmarkStart w:id="13" w:name="_Toc114912389" w:displacedByCustomXml="prev"/>
    <w:bookmarkStart w:id="14" w:name="_Ref176238635" w:displacedByCustomXml="prev"/>
    <w:bookmarkStart w:id="15" w:name="_Ref181528599" w:displacedByCustomXml="prev"/>
    <w:bookmarkStart w:id="16" w:name="_Ref181593814" w:displacedByCustomXml="prev"/>
    <w:bookmarkStart w:id="17" w:name="_Ref248821089" w:displacedByCustomXml="prev"/>
    <w:bookmarkStart w:id="18" w:name="_Ref313365583" w:displacedByCustomXml="prev"/>
    <w:p w14:paraId="3169160F" w14:textId="77777777" w:rsidR="00D16C60" w:rsidRPr="00584BCB" w:rsidRDefault="00D16C60" w:rsidP="00BE76F9">
      <w:pPr>
        <w:pStyle w:val="Heading1"/>
        <w:rPr>
          <w:color w:val="000000" w:themeColor="text1"/>
        </w:rPr>
        <w:sectPr w:rsidR="00D16C60" w:rsidRPr="00584BCB" w:rsidSect="00ED2937">
          <w:pgSz w:w="11900" w:h="16840"/>
          <w:pgMar w:top="1440" w:right="1440" w:bottom="1440" w:left="1440" w:header="720" w:footer="720" w:gutter="0"/>
          <w:cols w:space="709"/>
          <w:docGrid w:linePitch="272"/>
        </w:sectPr>
      </w:pPr>
    </w:p>
    <w:p w14:paraId="5B9C81CA" w14:textId="04B97AE8" w:rsidR="006E6648" w:rsidRPr="00584BCB" w:rsidRDefault="006E6648" w:rsidP="00BE76F9">
      <w:pPr>
        <w:pStyle w:val="Heading1"/>
        <w:rPr>
          <w:color w:val="000000" w:themeColor="text1"/>
        </w:rPr>
      </w:pPr>
      <w:bookmarkStart w:id="19" w:name="_Toc66716597"/>
      <w:r w:rsidRPr="00584BCB">
        <w:rPr>
          <w:rFonts w:hint="cs"/>
          <w:color w:val="000000" w:themeColor="text1"/>
        </w:rPr>
        <w:lastRenderedPageBreak/>
        <w:t>Executive Summary</w:t>
      </w:r>
      <w:bookmarkEnd w:id="19"/>
      <w:bookmarkEnd w:id="3"/>
      <w:bookmarkEnd w:id="2"/>
      <w:bookmarkEnd w:id="1"/>
      <w:bookmarkEnd w:id="0"/>
    </w:p>
    <w:p w14:paraId="3FCE2670" w14:textId="77777777" w:rsidR="00A85CAA" w:rsidRPr="00584BCB" w:rsidRDefault="00A85CAA" w:rsidP="00A85CAA">
      <w:pPr>
        <w:pStyle w:val="PlainParagraph"/>
        <w:spacing w:before="200" w:line="240" w:lineRule="auto"/>
        <w:ind w:left="0"/>
        <w:rPr>
          <w:rFonts w:ascii="Rubik Medium" w:hAnsi="Rubik Medium" w:cs="Rubik Medium"/>
          <w:color w:val="000000" w:themeColor="text1"/>
          <w:sz w:val="28"/>
          <w:szCs w:val="28"/>
        </w:rPr>
      </w:pPr>
      <w:r w:rsidRPr="00584BCB">
        <w:rPr>
          <w:rFonts w:ascii="Rubik Medium" w:hAnsi="Rubik Medium" w:cs="Rubik Medium" w:hint="cs"/>
          <w:color w:val="000000" w:themeColor="text1"/>
          <w:sz w:val="28"/>
          <w:szCs w:val="28"/>
        </w:rPr>
        <w:t>Background</w:t>
      </w:r>
    </w:p>
    <w:p w14:paraId="7AAC5871" w14:textId="77777777" w:rsidR="003D5848" w:rsidRPr="00584BCB" w:rsidRDefault="003D5848" w:rsidP="00300BC4">
      <w:pPr>
        <w:autoSpaceDE w:val="0"/>
        <w:autoSpaceDN w:val="0"/>
        <w:adjustRightInd w:val="0"/>
        <w:rPr>
          <w:color w:val="000000" w:themeColor="text1"/>
          <w:sz w:val="22"/>
          <w:lang w:val="en-US"/>
        </w:rPr>
      </w:pPr>
      <w:r w:rsidRPr="00584BCB">
        <w:rPr>
          <w:rFonts w:ascii="Rubik" w:hAnsi="Rubik" w:cs="Rubik Light" w:hint="cs"/>
          <w:color w:val="000000" w:themeColor="text1"/>
          <w:sz w:val="22"/>
          <w:lang w:val="en-US"/>
        </w:rPr>
        <w:t>People with autism, intellectual disability and/or psychosocial disability experience poorer employment outcomes than Australians without disability. The NDIA’s vision is for people with autism, intellectual disability and/or psychosocial disability to have the same opportunities to work as other Australians, and to ensure they have the confidence, support and skills to take advantage of opportunities available within the workplace.</w:t>
      </w:r>
      <w:r w:rsidRPr="00584BCB">
        <w:rPr>
          <w:rFonts w:hint="cs"/>
          <w:color w:val="000000" w:themeColor="text1"/>
          <w:sz w:val="22"/>
          <w:lang w:val="en-US"/>
        </w:rPr>
        <w:t>  </w:t>
      </w:r>
    </w:p>
    <w:p w14:paraId="00AE2B73" w14:textId="6AC4B07B" w:rsidR="00654876" w:rsidRPr="00584BCB" w:rsidRDefault="00654876" w:rsidP="00654876">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Systematic Review</w:t>
      </w:r>
    </w:p>
    <w:p w14:paraId="3E8363E0" w14:textId="77777777" w:rsidR="003D5848" w:rsidRPr="00584BCB" w:rsidRDefault="003D5848" w:rsidP="003D5848">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The Systematic Review is part of a program of work funded by the National Disability Insurance Agency (NDIA). The program aims to better understand the best available evidence regarding the effectiveness of different disability employment interventions and also provide insight into the best current evidence and practice relating to these programs.</w:t>
      </w:r>
    </w:p>
    <w:p w14:paraId="6C499763" w14:textId="6B72BC6A" w:rsidR="00654876" w:rsidRPr="00584BCB" w:rsidRDefault="00654876" w:rsidP="00654876">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 xml:space="preserve">Aim </w:t>
      </w:r>
    </w:p>
    <w:p w14:paraId="5582A934" w14:textId="4A0CF7AD" w:rsidR="003D5848" w:rsidRPr="00584BCB" w:rsidRDefault="003D5848" w:rsidP="003D5848">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 xml:space="preserve">The aim of this review was to systematically assess vocational interventions aimed at improving employment participation of people with autism, intellectual </w:t>
      </w:r>
      <w:r w:rsidR="000823D5" w:rsidRPr="00584BCB">
        <w:rPr>
          <w:rFonts w:ascii="Rubik" w:hAnsi="Rubik" w:cs="Rubik Light" w:hint="cs"/>
          <w:color w:val="000000" w:themeColor="text1"/>
          <w:sz w:val="22"/>
          <w:lang w:val="en-US"/>
        </w:rPr>
        <w:t>disability</w:t>
      </w:r>
      <w:r w:rsidRPr="00584BCB">
        <w:rPr>
          <w:rFonts w:ascii="Rubik" w:hAnsi="Rubik" w:cs="Rubik Light" w:hint="cs"/>
          <w:color w:val="000000" w:themeColor="text1"/>
          <w:sz w:val="22"/>
          <w:lang w:val="en-US"/>
        </w:rPr>
        <w:t xml:space="preserve"> and/or psychosocial </w:t>
      </w:r>
      <w:r w:rsidR="000823D5" w:rsidRPr="00584BCB">
        <w:rPr>
          <w:rFonts w:ascii="Rubik" w:hAnsi="Rubik" w:cs="Rubik Light" w:hint="cs"/>
          <w:color w:val="000000" w:themeColor="text1"/>
          <w:sz w:val="22"/>
          <w:lang w:val="en-US"/>
        </w:rPr>
        <w:t>disability</w:t>
      </w:r>
      <w:r w:rsidRPr="00584BCB">
        <w:rPr>
          <w:rFonts w:ascii="Rubik" w:hAnsi="Rubik" w:cs="Rubik Light" w:hint="cs"/>
          <w:color w:val="000000" w:themeColor="text1"/>
          <w:sz w:val="22"/>
          <w:lang w:val="en-US"/>
        </w:rPr>
        <w:t xml:space="preserve">. Therefore, it sought to directly inform the NDIA on </w:t>
      </w:r>
      <w:r w:rsidR="00CA42B3">
        <w:rPr>
          <w:rFonts w:ascii="Rubik" w:hAnsi="Rubik" w:cs="Rubik Light"/>
          <w:color w:val="000000" w:themeColor="text1"/>
          <w:sz w:val="22"/>
          <w:lang w:val="en-US"/>
        </w:rPr>
        <w:t>what interventions can best</w:t>
      </w:r>
      <w:r w:rsidRPr="00584BCB">
        <w:rPr>
          <w:rFonts w:ascii="Rubik" w:hAnsi="Rubik" w:cs="Rubik Light" w:hint="cs"/>
          <w:color w:val="000000" w:themeColor="text1"/>
          <w:sz w:val="22"/>
          <w:lang w:val="en-US"/>
        </w:rPr>
        <w:t xml:space="preserve"> support NDIS participants in the target populations. </w:t>
      </w:r>
    </w:p>
    <w:p w14:paraId="118D0B0A" w14:textId="2CCE9977" w:rsidR="00654876" w:rsidRPr="00584BCB" w:rsidRDefault="00654876" w:rsidP="00654876">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Methods</w:t>
      </w:r>
    </w:p>
    <w:p w14:paraId="19476F6F" w14:textId="77777777" w:rsidR="003D5848" w:rsidRPr="00584BCB" w:rsidRDefault="003D5848" w:rsidP="003D5848">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The protocol for this Systematic Review was a-priori registered with PROSPERO (International prospective register of Systematic Reviews, CRD42020219192).</w:t>
      </w:r>
    </w:p>
    <w:p w14:paraId="357D9D87" w14:textId="77777777" w:rsidR="003D5848" w:rsidRPr="00584BCB" w:rsidRDefault="003D5848" w:rsidP="006521AD">
      <w:pPr>
        <w:pStyle w:val="paragraph"/>
        <w:spacing w:before="0" w:beforeAutospacing="0" w:after="140" w:afterAutospacing="0"/>
        <w:textAlignment w:val="baseline"/>
        <w:rPr>
          <w:rFonts w:ascii="Rubik" w:hAnsi="Rubik" w:cs="Rubik Light"/>
          <w:color w:val="000000" w:themeColor="text1"/>
          <w:sz w:val="22"/>
          <w:szCs w:val="22"/>
          <w:lang w:val="en-US"/>
        </w:rPr>
      </w:pPr>
      <w:r w:rsidRPr="00584BCB">
        <w:rPr>
          <w:rFonts w:ascii="Rubik" w:hAnsi="Rubik" w:cs="Rubik Light" w:hint="cs"/>
          <w:color w:val="000000" w:themeColor="text1"/>
          <w:sz w:val="22"/>
          <w:szCs w:val="22"/>
          <w:lang w:val="en-US"/>
        </w:rPr>
        <w:t xml:space="preserve">Studies were included if they met </w:t>
      </w:r>
      <w:r w:rsidRPr="00584BCB">
        <w:rPr>
          <w:rFonts w:ascii="Rubik" w:hAnsi="Rubik" w:cs="Rubik Light" w:hint="cs"/>
          <w:i/>
          <w:iCs/>
          <w:color w:val="000000" w:themeColor="text1"/>
          <w:sz w:val="22"/>
          <w:szCs w:val="22"/>
          <w:lang w:val="en-US"/>
        </w:rPr>
        <w:t>all</w:t>
      </w:r>
      <w:r w:rsidRPr="00584BCB">
        <w:rPr>
          <w:rFonts w:ascii="Rubik" w:hAnsi="Rubik" w:cs="Rubik Light" w:hint="cs"/>
          <w:color w:val="000000" w:themeColor="text1"/>
          <w:sz w:val="22"/>
          <w:szCs w:val="22"/>
          <w:lang w:val="en-US"/>
        </w:rPr>
        <w:t xml:space="preserve"> of the following criteria:</w:t>
      </w:r>
    </w:p>
    <w:p w14:paraId="2F110874" w14:textId="77777777" w:rsidR="003D5848" w:rsidRPr="00584BCB" w:rsidRDefault="003D5848" w:rsidP="006521AD">
      <w:pPr>
        <w:pStyle w:val="ListParagraph"/>
        <w:numPr>
          <w:ilvl w:val="0"/>
          <w:numId w:val="41"/>
        </w:numPr>
        <w:autoSpaceDE w:val="0"/>
        <w:autoSpaceDN w:val="0"/>
        <w:adjustRightInd w:val="0"/>
        <w:spacing w:after="140" w:line="240" w:lineRule="auto"/>
        <w:contextualSpacing/>
        <w:rPr>
          <w:rFonts w:ascii="Rubik" w:hAnsi="Rubik" w:cs="Rubik Light"/>
          <w:color w:val="000000" w:themeColor="text1"/>
          <w:sz w:val="22"/>
          <w:lang w:val="en-US"/>
        </w:rPr>
      </w:pPr>
      <w:r w:rsidRPr="00584BCB">
        <w:rPr>
          <w:rFonts w:ascii="Rubik" w:hAnsi="Rubik" w:cs="Rubik Light" w:hint="cs"/>
          <w:color w:val="000000" w:themeColor="text1"/>
          <w:sz w:val="22"/>
          <w:lang w:val="en-US"/>
        </w:rPr>
        <w:t xml:space="preserve">Reported on the primary outcome of interest for this systematic review – open or supported employment at the follow-up closest to the end of the intervention, but no longer than 12 months post-intervention. </w:t>
      </w:r>
    </w:p>
    <w:p w14:paraId="3B7E1DC3" w14:textId="77777777" w:rsidR="003D5848" w:rsidRPr="00584BCB" w:rsidRDefault="003D5848" w:rsidP="006521AD">
      <w:pPr>
        <w:pStyle w:val="ListParagraph"/>
        <w:numPr>
          <w:ilvl w:val="0"/>
          <w:numId w:val="41"/>
        </w:numPr>
        <w:autoSpaceDE w:val="0"/>
        <w:autoSpaceDN w:val="0"/>
        <w:adjustRightInd w:val="0"/>
        <w:spacing w:after="140" w:line="240" w:lineRule="auto"/>
        <w:contextualSpacing/>
        <w:rPr>
          <w:rFonts w:ascii="Rubik" w:hAnsi="Rubik" w:cs="Rubik Light"/>
          <w:color w:val="000000" w:themeColor="text1"/>
          <w:sz w:val="22"/>
          <w:lang w:val="en-US"/>
        </w:rPr>
      </w:pPr>
      <w:r w:rsidRPr="00584BCB">
        <w:rPr>
          <w:rFonts w:ascii="Rubik" w:hAnsi="Rubik" w:cs="Rubik Light" w:hint="cs"/>
          <w:color w:val="000000" w:themeColor="text1"/>
          <w:sz w:val="22"/>
          <w:lang w:val="en-US"/>
        </w:rPr>
        <w:t>Took place in a high-income country</w:t>
      </w:r>
    </w:p>
    <w:p w14:paraId="70489096" w14:textId="77777777" w:rsidR="003D5848" w:rsidRPr="00584BCB" w:rsidRDefault="003D5848" w:rsidP="006521AD">
      <w:pPr>
        <w:pStyle w:val="ListParagraph"/>
        <w:numPr>
          <w:ilvl w:val="0"/>
          <w:numId w:val="41"/>
        </w:numPr>
        <w:autoSpaceDE w:val="0"/>
        <w:autoSpaceDN w:val="0"/>
        <w:adjustRightInd w:val="0"/>
        <w:spacing w:after="140" w:line="240" w:lineRule="auto"/>
        <w:contextualSpacing/>
        <w:rPr>
          <w:rFonts w:ascii="Rubik" w:hAnsi="Rubik" w:cs="Rubik Light"/>
          <w:color w:val="000000" w:themeColor="text1"/>
          <w:sz w:val="22"/>
          <w:lang w:val="en-US"/>
        </w:rPr>
      </w:pPr>
      <w:r w:rsidRPr="00584BCB">
        <w:rPr>
          <w:rFonts w:ascii="Rubik" w:hAnsi="Rubik" w:cs="Rubik Light" w:hint="cs"/>
          <w:color w:val="000000" w:themeColor="text1"/>
          <w:sz w:val="22"/>
          <w:lang w:val="en-US"/>
        </w:rPr>
        <w:t xml:space="preserve">Had a vocational component aimed at increasing participation in open or supported employment. </w:t>
      </w:r>
    </w:p>
    <w:p w14:paraId="4CA5CF58" w14:textId="68FD579B" w:rsidR="003D5848" w:rsidRPr="00584BCB" w:rsidRDefault="003D5848" w:rsidP="006521AD">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Secondary outcomes of interest from eligible studies were also included: sustained employment; job satisfaction (measured using validated tool); and work readiness (measured using validated tool).</w:t>
      </w:r>
      <w:r w:rsidR="006521AD"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Eight databases were searched (MEDLINE, Embase, PsycINFO, Web of Science, SCOPUS,</w:t>
      </w:r>
      <w:r w:rsidR="006521AD"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CINAHL, ERIC, ERC). Search results were screened independently by two researchers using Systematic Review software COVIDENCE. The risk of bias of the RCTs was assessed using the</w:t>
      </w:r>
      <w:r w:rsidR="006521AD"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Cochrane Risk of Bias tool (ROB-II).</w:t>
      </w:r>
    </w:p>
    <w:p w14:paraId="4455E384" w14:textId="77777777" w:rsidR="008E2435" w:rsidRDefault="008E2435" w:rsidP="00E40459">
      <w:pPr>
        <w:pStyle w:val="PlainParagraph"/>
        <w:spacing w:before="200"/>
        <w:ind w:left="0"/>
        <w:rPr>
          <w:rFonts w:ascii="Rubik Medium" w:hAnsi="Rubik Medium" w:cs="Rubik Medium"/>
          <w:color w:val="000000" w:themeColor="text1"/>
          <w:sz w:val="28"/>
          <w:szCs w:val="28"/>
        </w:rPr>
      </w:pPr>
    </w:p>
    <w:p w14:paraId="3D7E7810" w14:textId="77777777" w:rsidR="008E2435" w:rsidRDefault="008E2435" w:rsidP="00E40459">
      <w:pPr>
        <w:pStyle w:val="PlainParagraph"/>
        <w:spacing w:before="200"/>
        <w:ind w:left="0"/>
        <w:rPr>
          <w:rFonts w:ascii="Rubik Medium" w:hAnsi="Rubik Medium" w:cs="Rubik Medium"/>
          <w:color w:val="000000" w:themeColor="text1"/>
          <w:sz w:val="28"/>
          <w:szCs w:val="28"/>
        </w:rPr>
      </w:pPr>
    </w:p>
    <w:p w14:paraId="6B2C11AD" w14:textId="2E0629CD" w:rsidR="00E40459" w:rsidRPr="00584BCB" w:rsidRDefault="00E40459" w:rsidP="00E40459">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lastRenderedPageBreak/>
        <w:t>Findings</w:t>
      </w:r>
    </w:p>
    <w:p w14:paraId="61022315" w14:textId="4C763CE5" w:rsidR="003D5848" w:rsidRPr="00584BCB" w:rsidRDefault="003D5848" w:rsidP="003D5848">
      <w:pPr>
        <w:pStyle w:val="paragraph"/>
        <w:spacing w:before="0" w:beforeAutospacing="0" w:after="0" w:afterAutospacing="0"/>
        <w:textAlignment w:val="baseline"/>
        <w:rPr>
          <w:rStyle w:val="eop"/>
          <w:rFonts w:ascii="Rubik" w:hAnsi="Rubik" w:cs="Rubik Light"/>
          <w:color w:val="000000" w:themeColor="text1"/>
          <w:sz w:val="22"/>
          <w:szCs w:val="22"/>
        </w:rPr>
      </w:pPr>
      <w:r w:rsidRPr="00584BCB">
        <w:rPr>
          <w:rStyle w:val="normaltextrun"/>
          <w:rFonts w:ascii="Rubik" w:hAnsi="Rubik" w:cs="Rubik Light" w:hint="cs"/>
          <w:color w:val="000000" w:themeColor="text1"/>
          <w:sz w:val="22"/>
          <w:szCs w:val="22"/>
        </w:rPr>
        <w:t>Twenty-six RCTs were identified (23 for people with psychosocial disability, 3 for people with autism and none for people with intellectual disability). </w:t>
      </w:r>
      <w:r w:rsidRPr="00584BCB">
        <w:rPr>
          <w:rStyle w:val="eop"/>
          <w:rFonts w:ascii="Rubik" w:hAnsi="Rubik" w:cs="Rubik Light" w:hint="cs"/>
          <w:color w:val="000000" w:themeColor="text1"/>
          <w:sz w:val="22"/>
          <w:szCs w:val="22"/>
        </w:rPr>
        <w:t xml:space="preserve"> All studies were assessed as being at moderate or high risk of bias. </w:t>
      </w:r>
    </w:p>
    <w:p w14:paraId="6F0AF860" w14:textId="12E77D41" w:rsidR="00E40459" w:rsidRPr="00584BCB" w:rsidRDefault="00E40459" w:rsidP="003D5848">
      <w:pPr>
        <w:pStyle w:val="paragraph"/>
        <w:spacing w:before="0" w:beforeAutospacing="0" w:after="0" w:afterAutospacing="0"/>
        <w:textAlignment w:val="baseline"/>
        <w:rPr>
          <w:rStyle w:val="eop"/>
          <w:rFonts w:ascii="Rubik" w:hAnsi="Rubik" w:cs="Rubik Light"/>
          <w:color w:val="000000" w:themeColor="text1"/>
          <w:sz w:val="22"/>
          <w:szCs w:val="22"/>
        </w:rPr>
      </w:pPr>
    </w:p>
    <w:p w14:paraId="6759A1B2" w14:textId="69BA66DD" w:rsidR="00654876" w:rsidRPr="00584BCB" w:rsidRDefault="00654876" w:rsidP="00654876">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Study populations</w:t>
      </w:r>
    </w:p>
    <w:p w14:paraId="2E8BA5E4" w14:textId="77777777" w:rsidR="003D5848" w:rsidRPr="00584BCB" w:rsidRDefault="003D5848" w:rsidP="003D5848">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The study populations varied across studies but were either restricted to people in the target population who were unemployed or not in work (for varying lengths of time) at baseline or employed but looking for more or other work at baseline.</w:t>
      </w:r>
    </w:p>
    <w:p w14:paraId="625AB15A" w14:textId="7BACDB47" w:rsidR="00654876" w:rsidRPr="00584BCB" w:rsidRDefault="00654876" w:rsidP="00654876">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Control groups</w:t>
      </w:r>
    </w:p>
    <w:p w14:paraId="396EB04F" w14:textId="77777777" w:rsidR="003D5848" w:rsidRPr="00584BCB" w:rsidRDefault="003D5848" w:rsidP="003D5848">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The non-intervention (control) group varied across the RCTs. Most studies focussed on supply-side vocational interventions and tested one component of those interventions (e.g., virtual reality interviewing) with a wait list control group. Some studies compared the intervention group with usual practice (e.g., Project SEARCH compared to usual high school special education supports. Other studies compared a particular vocational intervention with that intervention plus an additional element.</w:t>
      </w:r>
    </w:p>
    <w:p w14:paraId="1CCC51C8" w14:textId="11E99F27" w:rsidR="004A51AE" w:rsidRPr="00584BCB" w:rsidRDefault="004A51AE" w:rsidP="004A51AE">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Definition of primary and secondary outcomes</w:t>
      </w:r>
    </w:p>
    <w:p w14:paraId="4D2F49CB" w14:textId="3F0DC7EB" w:rsidR="003D5848" w:rsidRPr="00584BCB" w:rsidRDefault="003D5848" w:rsidP="004A51AE">
      <w:pPr>
        <w:autoSpaceDE w:val="0"/>
        <w:autoSpaceDN w:val="0"/>
        <w:adjustRightInd w:val="0"/>
        <w:rPr>
          <w:rFonts w:ascii="Rubik" w:hAnsi="Rubik" w:cs="Rubik Light"/>
          <w:color w:val="000000" w:themeColor="text1"/>
          <w:sz w:val="22"/>
          <w:lang w:val="en-US"/>
        </w:rPr>
      </w:pPr>
      <w:r w:rsidRPr="00584BCB">
        <w:rPr>
          <w:rFonts w:ascii="Rubik" w:hAnsi="Rubik" w:cs="Rubik Light" w:hint="cs"/>
          <w:color w:val="000000" w:themeColor="text1"/>
          <w:sz w:val="22"/>
          <w:lang w:val="en-US"/>
        </w:rPr>
        <w:t>In terms of the primary outcome of this systematic review, the majority of included</w:t>
      </w:r>
      <w:r w:rsidR="004A51AE"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studies defined open employment as work that paid at least minimum wage, that was</w:t>
      </w:r>
      <w:r w:rsidR="004A51AE"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located in mainstream settings and open to applicants from the general public. Three</w:t>
      </w:r>
      <w:r w:rsidR="004A51AE"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studies operationalised competitive employment as accepted job offers while other</w:t>
      </w:r>
      <w:r w:rsidR="004A51AE"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studies defined open employment as accepted job offers and actively working at that</w:t>
      </w:r>
      <w:r w:rsidR="004A51AE" w:rsidRPr="00584BCB">
        <w:rPr>
          <w:rFonts w:ascii="Rubik" w:hAnsi="Rubik" w:cs="Rubik Light"/>
          <w:color w:val="000000" w:themeColor="text1"/>
          <w:sz w:val="22"/>
          <w:lang w:val="en-US"/>
        </w:rPr>
        <w:t xml:space="preserve"> </w:t>
      </w:r>
      <w:r w:rsidRPr="00584BCB">
        <w:rPr>
          <w:rFonts w:ascii="Rubik" w:hAnsi="Rubik" w:cs="Rubik Light" w:hint="cs"/>
          <w:color w:val="000000" w:themeColor="text1"/>
          <w:sz w:val="22"/>
          <w:lang w:val="en-US"/>
        </w:rPr>
        <w:t xml:space="preserve">job. The definition of actively working varied per study, with length of time working between 1 hour through to continuously worked in a job for at least 2 months for at least 20h/week. In some studies, it was not clear how the employment outcome was defined. Only 6 studies assessed one or more secondary outcomes of interest for our review. </w:t>
      </w:r>
    </w:p>
    <w:p w14:paraId="634F096F" w14:textId="0727FE22" w:rsidR="003D5848" w:rsidRPr="00584BCB" w:rsidRDefault="004A51AE" w:rsidP="004A51AE">
      <w:pPr>
        <w:pStyle w:val="PlainParagraph"/>
        <w:spacing w:before="200"/>
        <w:ind w:left="0"/>
        <w:rPr>
          <w:rStyle w:val="normaltextrun"/>
          <w:rFonts w:ascii="Rubik" w:hAnsi="Rubik" w:cs="Rubik Light"/>
          <w:iCs/>
          <w:color w:val="000000" w:themeColor="text1"/>
        </w:rPr>
      </w:pPr>
      <w:r w:rsidRPr="00584BCB">
        <w:rPr>
          <w:rFonts w:ascii="Rubik Medium" w:hAnsi="Rubik Medium" w:cs="Rubik Medium"/>
          <w:color w:val="000000" w:themeColor="text1"/>
          <w:sz w:val="28"/>
          <w:szCs w:val="28"/>
        </w:rPr>
        <w:t xml:space="preserve">Synthesis of effects </w:t>
      </w:r>
    </w:p>
    <w:p w14:paraId="6A29D398" w14:textId="6030A58B" w:rsidR="003D5848" w:rsidRPr="00584BCB" w:rsidRDefault="003D5848" w:rsidP="003D5848">
      <w:pPr>
        <w:rPr>
          <w:rFonts w:ascii="Rubik" w:hAnsi="Rubik" w:cs="Rubik Light"/>
          <w:color w:val="000000" w:themeColor="text1"/>
          <w:sz w:val="22"/>
        </w:rPr>
      </w:pPr>
      <w:r w:rsidRPr="00584BCB">
        <w:rPr>
          <w:rFonts w:ascii="Rubik" w:hAnsi="Rubik" w:cs="Rubik Light" w:hint="cs"/>
          <w:color w:val="000000" w:themeColor="text1"/>
          <w:sz w:val="22"/>
        </w:rPr>
        <w:t xml:space="preserve">For people with psychosocial disability, we found evidence for a beneficial effect of IPS compared to traditional vocational rehabilitation or other control condition on open employment outcomes in almost all (11/12) studies. There was some evidence that IPS plus interventions, as well as several single studies using a vocational program component increased open employment outcomes. For people with autism, there is evidence of benefit for Project SEARCH and ASD Supports on open employment participation, from three studies with young people aged 18-21 years. </w:t>
      </w:r>
    </w:p>
    <w:p w14:paraId="6C38F9F3" w14:textId="04C9DC83" w:rsidR="003D5848" w:rsidRPr="00584BCB" w:rsidRDefault="003D5848" w:rsidP="003D5848">
      <w:pPr>
        <w:rPr>
          <w:rFonts w:ascii="Rubik" w:hAnsi="Rubik" w:cs="Rubik Light"/>
          <w:color w:val="000000" w:themeColor="text1"/>
          <w:sz w:val="22"/>
        </w:rPr>
      </w:pPr>
      <w:r w:rsidRPr="00584BCB">
        <w:rPr>
          <w:rFonts w:ascii="Rubik" w:hAnsi="Rubik" w:cs="Rubik Light" w:hint="cs"/>
          <w:color w:val="000000" w:themeColor="text1"/>
          <w:sz w:val="22"/>
        </w:rPr>
        <w:t xml:space="preserve">Regarding our secondary outcomes of </w:t>
      </w:r>
      <w:r w:rsidR="004A51AE" w:rsidRPr="00584BCB">
        <w:rPr>
          <w:rFonts w:ascii="Rubik" w:hAnsi="Rubik" w:cs="Rubik Light"/>
          <w:color w:val="000000" w:themeColor="text1"/>
          <w:sz w:val="22"/>
        </w:rPr>
        <w:t>interest,</w:t>
      </w:r>
      <w:r w:rsidRPr="00584BCB">
        <w:rPr>
          <w:rFonts w:ascii="Rubik" w:hAnsi="Rubik" w:cs="Rubik Light" w:hint="cs"/>
          <w:color w:val="000000" w:themeColor="text1"/>
          <w:sz w:val="22"/>
        </w:rPr>
        <w:t xml:space="preserve"> few studies assessed sustained employment, work readiness, job satisfaction and cost-effectiveness, and no studies formally assessed barriers and facilitators for implementation. </w:t>
      </w:r>
    </w:p>
    <w:p w14:paraId="5FA66D97" w14:textId="77777777" w:rsidR="008E2435" w:rsidRDefault="008E2435" w:rsidP="006521AD">
      <w:pPr>
        <w:pStyle w:val="PlainParagraph"/>
        <w:spacing w:before="200"/>
        <w:ind w:left="0"/>
        <w:rPr>
          <w:rFonts w:ascii="Rubik Medium" w:hAnsi="Rubik Medium" w:cs="Rubik Medium"/>
          <w:color w:val="000000" w:themeColor="text1"/>
          <w:sz w:val="28"/>
          <w:szCs w:val="28"/>
        </w:rPr>
      </w:pPr>
    </w:p>
    <w:p w14:paraId="636B1414" w14:textId="37D0C871" w:rsidR="006521AD" w:rsidRPr="00584BCB" w:rsidRDefault="004A51AE" w:rsidP="006521AD">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lastRenderedPageBreak/>
        <w:t xml:space="preserve">Insights and </w:t>
      </w:r>
      <w:r w:rsidR="008D7E40" w:rsidRPr="00584BCB">
        <w:rPr>
          <w:rFonts w:ascii="Rubik Medium" w:hAnsi="Rubik Medium" w:cs="Rubik Medium"/>
          <w:color w:val="000000" w:themeColor="text1"/>
          <w:sz w:val="28"/>
          <w:szCs w:val="28"/>
        </w:rPr>
        <w:t>considerations</w:t>
      </w:r>
    </w:p>
    <w:p w14:paraId="56B4AB9D" w14:textId="5DE63423" w:rsidR="003D5848" w:rsidRPr="00584BCB" w:rsidRDefault="003D5848" w:rsidP="006521AD">
      <w:pPr>
        <w:pStyle w:val="PlainParagraph"/>
        <w:spacing w:before="200"/>
        <w:ind w:left="0"/>
        <w:rPr>
          <w:rFonts w:ascii="Rubik" w:hAnsi="Rubik" w:cs="Rubik Light"/>
          <w:color w:val="000000" w:themeColor="text1"/>
        </w:rPr>
      </w:pPr>
      <w:r w:rsidRPr="00584BCB">
        <w:rPr>
          <w:rFonts w:ascii="Rubik" w:hAnsi="Rubik" w:cs="Rubik Light" w:hint="cs"/>
          <w:color w:val="000000" w:themeColor="text1"/>
        </w:rPr>
        <w:t xml:space="preserve">There were concerns about the quality of all the included studies, mainly due to a lack of published study protocols and/or statistical analysis plans, missing outcome data and potential for selective reporting. Studies with people with autism are limited to young people aged under 21 only, and we did not identify any eligible RCTs with people with intellectual disability. Furthermore, it is not clear the extent to which the participants in the RCTs correspond with NDIA participants with autism and/or psychosocial disability. </w:t>
      </w:r>
    </w:p>
    <w:p w14:paraId="68A1C757" w14:textId="3ABBF118" w:rsidR="003D5848" w:rsidRPr="00584BCB" w:rsidRDefault="003D5848" w:rsidP="003D5848">
      <w:pPr>
        <w:rPr>
          <w:rFonts w:ascii="Rubik" w:hAnsi="Rubik" w:cs="Rubik Light"/>
          <w:color w:val="000000" w:themeColor="text1"/>
          <w:sz w:val="22"/>
        </w:rPr>
      </w:pPr>
      <w:r w:rsidRPr="00584BCB">
        <w:rPr>
          <w:rFonts w:ascii="Rubik" w:hAnsi="Rubik" w:cs="Rubik Light" w:hint="cs"/>
          <w:color w:val="000000" w:themeColor="text1"/>
          <w:sz w:val="22"/>
        </w:rPr>
        <w:t xml:space="preserve">Based on the findings of the Systematic Review we recommend that </w:t>
      </w:r>
      <w:r w:rsidR="008E2435">
        <w:rPr>
          <w:rFonts w:ascii="Rubik" w:hAnsi="Rubik" w:cs="Rubik Light"/>
          <w:color w:val="000000" w:themeColor="text1"/>
          <w:sz w:val="22"/>
        </w:rPr>
        <w:t>programs where</w:t>
      </w:r>
      <w:r w:rsidRPr="00584BCB">
        <w:rPr>
          <w:rFonts w:ascii="Rubik" w:hAnsi="Rubik" w:cs="Rubik Light" w:hint="cs"/>
          <w:color w:val="000000" w:themeColor="text1"/>
          <w:sz w:val="22"/>
        </w:rPr>
        <w:t xml:space="preserve"> there is evidence from more than 1 RCT</w:t>
      </w:r>
      <w:r w:rsidR="008E2435">
        <w:rPr>
          <w:rFonts w:ascii="Rubik" w:hAnsi="Rubik" w:cs="Rubik Light"/>
          <w:color w:val="000000" w:themeColor="text1"/>
          <w:sz w:val="22"/>
        </w:rPr>
        <w:t xml:space="preserve"> should be considered</w:t>
      </w:r>
      <w:r w:rsidRPr="00584BCB">
        <w:rPr>
          <w:rFonts w:ascii="Rubik" w:hAnsi="Rubik" w:cs="Rubik Light" w:hint="cs"/>
          <w:color w:val="000000" w:themeColor="text1"/>
          <w:sz w:val="22"/>
        </w:rPr>
        <w:t xml:space="preserve"> (i.e., IPS (11/12 studies favoured IPS over control) and Project SEARCH+ASD support (3/3 studies favoured SEARCH+ASD over control)</w:t>
      </w:r>
      <w:r w:rsidR="008E2435">
        <w:rPr>
          <w:rFonts w:ascii="Rubik" w:hAnsi="Rubik" w:cs="Rubik Light"/>
          <w:color w:val="000000" w:themeColor="text1"/>
          <w:sz w:val="22"/>
        </w:rPr>
        <w:t>. The NDIA should</w:t>
      </w:r>
      <w:r w:rsidRPr="00584BCB">
        <w:rPr>
          <w:rFonts w:ascii="Rubik" w:hAnsi="Rubik" w:cs="Rubik Light" w:hint="cs"/>
          <w:color w:val="000000" w:themeColor="text1"/>
          <w:sz w:val="22"/>
        </w:rPr>
        <w:t xml:space="preserve"> work with other agencies including Department of Education, Skills and Employment, Department of Social Services, people with </w:t>
      </w:r>
      <w:r w:rsidR="000823D5" w:rsidRPr="00584BCB">
        <w:rPr>
          <w:rFonts w:ascii="Rubik" w:hAnsi="Rubik" w:cs="Rubik Light" w:hint="cs"/>
          <w:color w:val="000000" w:themeColor="text1"/>
          <w:sz w:val="22"/>
        </w:rPr>
        <w:t>disability</w:t>
      </w:r>
      <w:r w:rsidRPr="00584BCB">
        <w:rPr>
          <w:rFonts w:ascii="Rubik" w:hAnsi="Rubik" w:cs="Rubik Light" w:hint="cs"/>
          <w:color w:val="000000" w:themeColor="text1"/>
          <w:sz w:val="22"/>
        </w:rPr>
        <w:t xml:space="preserve">, and other stakeholders to rapidly enhance the empirical evidence base. In doing this they could work across the sector to define how employment outcomes are measured so that there is consistency and projects are comparing ‘like with like’. </w:t>
      </w:r>
    </w:p>
    <w:p w14:paraId="1E49C9C8" w14:textId="20B608D0" w:rsidR="00737D09" w:rsidRPr="00584BCB" w:rsidRDefault="00737D09" w:rsidP="00737D09">
      <w:pPr>
        <w:rPr>
          <w:color w:val="000000" w:themeColor="text1"/>
          <w:lang w:eastAsia="en-US"/>
        </w:rPr>
        <w:sectPr w:rsidR="00737D09" w:rsidRPr="00584BCB" w:rsidSect="00147D46">
          <w:footerReference w:type="default" r:id="rId13"/>
          <w:pgSz w:w="11900" w:h="16840"/>
          <w:pgMar w:top="1440" w:right="1440" w:bottom="1440" w:left="1440" w:header="720" w:footer="720" w:gutter="0"/>
          <w:pgNumType w:start="1"/>
          <w:cols w:space="709"/>
          <w:docGrid w:linePitch="272"/>
        </w:sectPr>
      </w:pPr>
      <w:r w:rsidRPr="00584BCB">
        <w:rPr>
          <w:rFonts w:ascii="Rubik Medium" w:hAnsi="Rubik Medium" w:cs="Rubik Medium"/>
          <w:b/>
          <w:bCs/>
          <w:noProof/>
          <w:color w:val="000000" w:themeColor="text1"/>
          <w:sz w:val="72"/>
          <w:szCs w:val="72"/>
          <w:lang w:eastAsia="en-AU"/>
        </w:rPr>
        <w:drawing>
          <wp:inline distT="0" distB="0" distL="0" distR="0" wp14:anchorId="027CE577" wp14:editId="0C7BA7CD">
            <wp:extent cx="2338200" cy="45719"/>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3915013" cy="76551"/>
                    </a:xfrm>
                    <a:prstGeom prst="rect">
                      <a:avLst/>
                    </a:prstGeom>
                  </pic:spPr>
                </pic:pic>
              </a:graphicData>
            </a:graphic>
          </wp:inline>
        </w:drawing>
      </w:r>
    </w:p>
    <w:p w14:paraId="2F30A78C" w14:textId="65EF096F" w:rsidR="00BD1825" w:rsidRPr="00584BCB" w:rsidRDefault="00BD1825" w:rsidP="00BE76F9">
      <w:pPr>
        <w:pStyle w:val="Heading1"/>
        <w:rPr>
          <w:color w:val="000000" w:themeColor="text1"/>
        </w:rPr>
      </w:pPr>
      <w:bookmarkStart w:id="20" w:name="_Toc66716598"/>
      <w:r w:rsidRPr="00584BCB">
        <w:rPr>
          <w:color w:val="000000" w:themeColor="text1"/>
        </w:rPr>
        <w:lastRenderedPageBreak/>
        <w:t>Aim</w:t>
      </w:r>
      <w:bookmarkEnd w:id="20"/>
      <w:r w:rsidRPr="00584BCB">
        <w:rPr>
          <w:color w:val="000000" w:themeColor="text1"/>
        </w:rPr>
        <w:t xml:space="preserve"> </w:t>
      </w:r>
    </w:p>
    <w:p w14:paraId="78987C66" w14:textId="03CE8674"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The aim of this review was to systematically assess vocational interventions aimed at improving employment participation of people with autism, intellectual </w:t>
      </w:r>
      <w:r w:rsidR="000823D5" w:rsidRPr="00584BCB">
        <w:rPr>
          <w:rFonts w:ascii="Rubik" w:hAnsi="Rubik"/>
          <w:color w:val="000000" w:themeColor="text1"/>
          <w:sz w:val="22"/>
        </w:rPr>
        <w:t>disability</w:t>
      </w:r>
      <w:r w:rsidRPr="00584BCB">
        <w:rPr>
          <w:rFonts w:ascii="Rubik" w:hAnsi="Rubik"/>
          <w:color w:val="000000" w:themeColor="text1"/>
          <w:sz w:val="22"/>
        </w:rPr>
        <w:t xml:space="preserve"> and/or psychosocial </w:t>
      </w:r>
      <w:r w:rsidR="000823D5" w:rsidRPr="00584BCB">
        <w:rPr>
          <w:rFonts w:ascii="Rubik" w:hAnsi="Rubik"/>
          <w:color w:val="000000" w:themeColor="text1"/>
          <w:sz w:val="22"/>
        </w:rPr>
        <w:t>disability</w:t>
      </w:r>
      <w:r w:rsidR="00F8209D" w:rsidRPr="00584BCB">
        <w:rPr>
          <w:rFonts w:ascii="Rubik" w:hAnsi="Rubik"/>
          <w:color w:val="000000" w:themeColor="text1"/>
          <w:sz w:val="22"/>
        </w:rPr>
        <w:t xml:space="preserve"> (supply side).</w:t>
      </w:r>
    </w:p>
    <w:p w14:paraId="6D4AC460" w14:textId="77777777" w:rsidR="00BD1825" w:rsidRPr="00584BCB" w:rsidRDefault="00BD1825" w:rsidP="00BE76F9">
      <w:pPr>
        <w:pStyle w:val="Heading1"/>
        <w:rPr>
          <w:color w:val="000000" w:themeColor="text1"/>
        </w:rPr>
      </w:pPr>
      <w:bookmarkStart w:id="21" w:name="_Toc66716599"/>
      <w:r w:rsidRPr="00584BCB">
        <w:rPr>
          <w:color w:val="000000" w:themeColor="text1"/>
        </w:rPr>
        <w:t>Methodology</w:t>
      </w:r>
      <w:bookmarkEnd w:id="21"/>
    </w:p>
    <w:p w14:paraId="685C88EA" w14:textId="77777777" w:rsidR="00BD1825" w:rsidRPr="00584BCB" w:rsidRDefault="00BD1825" w:rsidP="005C7481">
      <w:pPr>
        <w:pStyle w:val="Heading2"/>
        <w:rPr>
          <w:rFonts w:ascii="Rubik" w:hAnsi="Rubik"/>
          <w:bCs/>
          <w:color w:val="000000" w:themeColor="text1"/>
          <w:szCs w:val="24"/>
        </w:rPr>
      </w:pPr>
      <w:bookmarkStart w:id="22" w:name="_Toc66716600"/>
      <w:r w:rsidRPr="00584BCB">
        <w:rPr>
          <w:rFonts w:ascii="Rubik" w:hAnsi="Rubik"/>
          <w:bCs/>
          <w:color w:val="000000" w:themeColor="text1"/>
          <w:szCs w:val="24"/>
        </w:rPr>
        <w:t>Registration</w:t>
      </w:r>
      <w:bookmarkEnd w:id="22"/>
    </w:p>
    <w:p w14:paraId="40FD6488" w14:textId="576A73A5"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The protocol for this systematic review was a-priori registered with PROSPERO (International prospective register of systematic </w:t>
      </w:r>
      <w:r w:rsidR="00B241F2" w:rsidRPr="00584BCB">
        <w:rPr>
          <w:rFonts w:ascii="Rubik" w:hAnsi="Rubik"/>
          <w:color w:val="000000" w:themeColor="text1"/>
          <w:sz w:val="22"/>
        </w:rPr>
        <w:t>reviews) (</w:t>
      </w:r>
      <w:r w:rsidRPr="00584BCB">
        <w:rPr>
          <w:rFonts w:ascii="Rubik" w:hAnsi="Rubik"/>
          <w:color w:val="000000" w:themeColor="text1"/>
          <w:sz w:val="22"/>
        </w:rPr>
        <w:t xml:space="preserve">CRD42020219192). </w:t>
      </w:r>
    </w:p>
    <w:p w14:paraId="540681FB" w14:textId="77777777" w:rsidR="00BD1825" w:rsidRPr="00584BCB" w:rsidRDefault="00BD1825" w:rsidP="005C7481">
      <w:pPr>
        <w:pStyle w:val="Heading2"/>
        <w:rPr>
          <w:rFonts w:ascii="Rubik" w:hAnsi="Rubik" w:cs="Rubik Light"/>
          <w:bCs/>
          <w:color w:val="000000" w:themeColor="text1"/>
          <w:szCs w:val="24"/>
        </w:rPr>
      </w:pPr>
      <w:bookmarkStart w:id="23" w:name="_Toc66716601"/>
      <w:r w:rsidRPr="00584BCB">
        <w:rPr>
          <w:rFonts w:ascii="Rubik" w:hAnsi="Rubik" w:cs="Rubik Light"/>
          <w:bCs/>
          <w:color w:val="000000" w:themeColor="text1"/>
          <w:szCs w:val="24"/>
        </w:rPr>
        <w:t>Eligibility Criteria</w:t>
      </w:r>
      <w:bookmarkEnd w:id="23"/>
    </w:p>
    <w:p w14:paraId="18B56C74"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Study design: We aimed to include randomised controlled trials (RCTs), and we planned to include non-randomised interventions only if there was not sufficient RCT data available. </w:t>
      </w:r>
    </w:p>
    <w:p w14:paraId="6169225C" w14:textId="19580A9A" w:rsidR="005C4F22" w:rsidRPr="00584BCB" w:rsidRDefault="00BD1825" w:rsidP="005C7481">
      <w:pPr>
        <w:spacing w:line="240" w:lineRule="auto"/>
        <w:rPr>
          <w:rFonts w:ascii="Rubik" w:hAnsi="Rubik"/>
          <w:color w:val="000000" w:themeColor="text1"/>
          <w:sz w:val="24"/>
          <w:szCs w:val="24"/>
        </w:rPr>
      </w:pPr>
      <w:r w:rsidRPr="00584BCB">
        <w:rPr>
          <w:rFonts w:ascii="Rubik" w:hAnsi="Rubik"/>
          <w:b/>
          <w:bCs/>
          <w:color w:val="000000" w:themeColor="text1"/>
          <w:sz w:val="24"/>
          <w:szCs w:val="24"/>
        </w:rPr>
        <w:t>Context</w:t>
      </w:r>
      <w:r w:rsidRPr="00584BCB">
        <w:rPr>
          <w:rFonts w:ascii="Rubik" w:hAnsi="Rubik"/>
          <w:color w:val="000000" w:themeColor="text1"/>
          <w:sz w:val="24"/>
          <w:szCs w:val="24"/>
        </w:rPr>
        <w:t xml:space="preserve"> </w:t>
      </w:r>
    </w:p>
    <w:p w14:paraId="030E51B2" w14:textId="48D65434"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Only studies conducted in high-income countries as defined by the World Bank</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{"citationID":"MMf3TeXH","properties":{"formattedCitation":"\\super 1\\nosupersub{}","plainCitation":"1","noteIndex":0},"citationItems":[{"id":29779,"uris":["http://zotero.org/users/5729315/items/JAD443E3"],"uri":["http://zotero.org/users/5729315/items/JAD443E3"],"itemData":{"id":29779,"type":"webpage","title":"High income | Data","URL":"https://data.worldbank.org/country/XD","accessed":{"date-parts":[["2020",10,5]]}}}],"schema":"https://github.com/citation-style-language/schema/raw/master/csl-citation.json"}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published in English in/after 2010 were included. </w:t>
      </w:r>
    </w:p>
    <w:p w14:paraId="3F1FFA69" w14:textId="2B773739" w:rsidR="005C4F22" w:rsidRPr="00584BCB" w:rsidRDefault="00BD1825" w:rsidP="005C7481">
      <w:pPr>
        <w:spacing w:line="240" w:lineRule="auto"/>
        <w:rPr>
          <w:rFonts w:ascii="Rubik" w:hAnsi="Rubik"/>
          <w:color w:val="000000" w:themeColor="text1"/>
          <w:sz w:val="24"/>
          <w:szCs w:val="24"/>
        </w:rPr>
      </w:pPr>
      <w:r w:rsidRPr="00584BCB">
        <w:rPr>
          <w:rFonts w:ascii="Rubik" w:hAnsi="Rubik"/>
          <w:b/>
          <w:bCs/>
          <w:color w:val="000000" w:themeColor="text1"/>
          <w:sz w:val="24"/>
          <w:szCs w:val="24"/>
        </w:rPr>
        <w:t>Participants</w:t>
      </w:r>
    </w:p>
    <w:p w14:paraId="5760CBF1" w14:textId="6CCBA002"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Eligible studies included people with autism, intellectual disability and/or psychosocial disability (Supplementary file 1). For inclusion in the systematic review, individual studies had to include participants with a medical diagnosis of autism spectrum disorder, intellectual disability and/or fit the following definition of psychosocial disability: a medical diagnosis of at least one mental illness that hinders participation in employment, and at least 75% of the study participants must have a severe mental illness. We defined severe mental illness as schizophrenia and other psychoses, bipolar disorder, severe depression and severe anxiety in accordance with the Royal Australian </w:t>
      </w:r>
      <w:r w:rsidRPr="00584BCB">
        <w:rPr>
          <w:rFonts w:ascii="Rubik" w:hAnsi="Rubik"/>
          <w:color w:val="000000" w:themeColor="text1"/>
          <w:sz w:val="22"/>
        </w:rPr>
        <w:t>and New Zealand College of Psychiatrists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{"citationID":"nEtdCrEg","properties":{"formattedCitation":"\\super 2\\nosupersub{}","plainCitation":"2","noteIndex":0},"citationItems":[{"id":29811,"uris":["http://zotero.org/users/5729315/items/57RQD7CG"],"uri":["http://zotero.org/users/5729315/items/57RQD7CG"],"itemData":{"id":29811,"type":"report","event-place":"Melbourne, Australia","page":"1-48","publisher":"Royal Australian and New Zealand College of Psychiatrists (RANZCP)","publisher-place":"Melbourne, Australia","title":"The economic cost of serious mental illness and comorbidities in Australia and New Zealand","URL":"https://www.ranzcp.org/files/resources/reports/ranzcp-serious-mental-illness.aspx","author":[{"family":"Royal Australian and New Zealand College of Psychiatrists","given":""}],"issued":{"date-parts":[["2016"]]}}}],"schema":"https://github.com/citation-style-language/schema/raw/master/csl-citation.json"}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For psychosocial disability, we excluded studies on people with substance use disorder without any other mental illness, consistent with other reviews in this area</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{"citationID":"VzUaFuf5","properties":{"formattedCitation":"\\super 3\\uc0\\u8211{}5\\nosupersub{}","plainCitation":"3–5","noteIndex":0},"citationItems":[{"id":29817,"uris":["http://zotero.org/users/5729315/items/PMFII2R5"],"uri":["http://zotero.org/users/5729315/items/PMFII2R5"],"itemData":{"id":29817,"type":"article-journal","abstract":"BACKGROUND: Unemployment rates are high amongst people with severe mental illness, yet surveys show that most want to work. Vocational rehabilitation services exist to help mentally ill people find work. Traditionally, these services have offered a period of preparation (Pre-vocational Training), before trying to place clients in competitive (i.e. open) employment. More recently, some services have begun placing clients in competitive employment immediately whilst providing on-the-job support (Supported Employment). It is unclear which approach is most effective.\nOBJECTIVES: To assess the effects of Pre-vocational Training and Supported Employment (for people with severe mental illness) against each other and against standard care (in hospital or community). In addition, to assess the effects of: (a) special varieties of Pre-vocational Training (Clubhouse model) and Supported Employment (Individual Placement and Support model); and (b) techniques for enhancing either approach, for example payment or psychological intervention.\nSEARCH STRATEGY: Searches were undertaken of CINAHL (1982-1998), The Cochrane Library (Issue 2, 1999), EMBASE (1980-1998), MEDLINE (1966-1998) and PsycLIT (1887-1998). Reference lists of eligible studies and reviews were inspected and researchers in the field were approached to identify unpublished studies.\nSELECTION CRITERIA: Randomised controlled trials of approaches to vocational rehabilitation for people with severe mental illness.\nDATA COLLECTION AND ANALYSIS: Included trials were reliably selected by a team of two raters. Data were extracted separately by two reviewers and cross-checked. Authors of trials were contacted for additional information. Relative risks (RR) and 95% confidence intervals (CI) of homogeneous dichotomous data were calculated. A random effects model was used for heterogeneous dichotomous data. Continuous data were presented in tables (there were insufficient continuous data for formal meta-analysis). A sensitivity analysis was performed, excluding poorer quality trials.\nMAIN RESULTS: Eighteen randomised controlled trials of reasonable quality were identified. The main finding was that on the primary outcome (number in competitive employment) Supported Employment was significantly more effective than Pre-vocational Training; for example, at 18 months 34% of people in Supported Employment were employed versus 12% in Pre-vocational Training (RR random effects (unemployment) 0.76 95% CI 0.64 to 0.89, NNT 4.5). Clients in Supported Employment also earned more and worked more hours per month than those in Pre-vocational Training. There was no evidence that Pre-vocational Training was more effective in helping clients to obtain competitive employment than standard community care.\nREVIEWER'S CONCLUSIONS: Supported employment is more effective than Pre-vocational Training in helping severely mentally ill people to obtain competitive employment. There is no clear evidence that Pre-vocational Training is effective.","container-title":"The Cochrane Database of Systematic Reviews","DOI":"10.1002/14651858.CD003080","ISSN":"1469-493X","issue":"2","language":"eng","note":"PMID: 11406069\nPMCID: PMC4170889","page":"CD003080","source":"PubMed","title":"Vocational rehabilitation for people with severe mental illness","author":[{"family":"Crowther","given":"R."},{"family":"Marshall","given":"M."},{"family":"Bond","given":"G."},{"family":"Huxley","given":"P."}],"issued":{"date-parts":[["2001"]]}},"label":"page"},{"id":29815,"uris":["http://zotero.org/users/5729315/items/QN4N4QFT"],"uri":["http://zotero.org/users/5729315/items/QN4N4QFT"],"itemData":{"id":29815,"type":"article-journal","container-title":"Cochrane Database of Systematic Reviews","DOI":"10.1002/14651858.CD008297.pub2","ISSN":"1465-1858","issue":"9","language":"en","note":"publisher: John Wiley &amp; Sons, Ltd","source":"www.cochranelibrary.com","title":"Supported employment for adults with severe mental illness","URL":"https://www.cochranelibrary.com/cdsr/doi/10.1002/14651858.CD008297.pub2/references","author":[{"family":"Kinoshita","given":"Yoshihiro"},{"family":"Furukawa","given":"Toshi A."},{"family":"Kinoshita","given":"Kuni"},{"family":"Honyashiki","given":"Mina"},{"family":"Omori","given":"Ichiro M."},{"family":"Marshall","given":"Max"},{"family":"Bond","given":"Gary R."},{"family":"Huxley","given":"Peter"},{"family":"Amano","given":"Naoji"},{"family":"Kingdon","given":"David"}],"accessed":{"date-parts":[["2020",10,9]]},"issued":{"date-parts":[["2013"]]}},"label":"page"},{"id":109115,"uris":["http://zotero.org/users/5729315/items/9M7KY5YH"],"uri":["http://zotero.org/users/5729315/items/9M7KY5YH"],"itemData":{"id":109115,"type":"article-journal","container-title":"Cochrane Database of Systematic Reviews","DOI":"10.1002/14651858.CD011867.pub2","ISSN":"1465-1858","issue":"9","language":"en","note":"publisher: John Wiley &amp; Sons, Ltd","source":"www.cochranelibrary.com","title":"Interventions for obtaining and maintaining employment in adults with severe mental illness, a network meta</w:instrText>
      </w:r>
      <w:r w:rsidRPr="00584BCB">
        <w:rPr>
          <w:rFonts w:ascii="Cambria Math" w:hAnsi="Cambria Math" w:cs="Cambria Math"/>
          <w:color w:val="000000" w:themeColor="text1"/>
          <w:sz w:val="22"/>
          <w:vertAlign w:val="superscript"/>
        </w:rPr>
        <w:instrText>‐</w:instrText>
      </w:r>
      <w:r w:rsidRPr="00584BCB">
        <w:rPr>
          <w:rFonts w:ascii="Rubik" w:hAnsi="Rubik"/>
          <w:color w:val="000000" w:themeColor="text1"/>
          <w:sz w:val="22"/>
          <w:vertAlign w:val="superscript"/>
        </w:rPr>
        <w:instrText xml:space="preserve">analysis","URL":"https://www.cochranelibrary.com/cdsr/doi/10.1002/14651858.CD011867.pub2/full","author":[{"family":"Suijkerbuijk","given":"Yvonne B."},{"family":"Schaafsma","given":"Frederieke G."},{"family":"Mechelen","given":"Joost C.","dropping-particle":"van"},{"family":"Ojajärvi","given":"Anneli"},{"family":"Corbière","given":"Marc"},{"family":"Anema","given":"Johannes R."}],"accessed":{"date-parts":[["2020",12,15]]},"issued":{"date-parts":[["2017"]]}},"label":"page"}],"schema":"https://github.com/citation-style-language/schema/raw/master/csl-citation.json"}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We accepted diagnoses using recognised diagnostic criteria. We only included studies in which at least 75% of participants were aged between 16 and 64 years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{"citationID":"S5y3Zucg","properties":{"formattedCitation":"\\super 6\\nosupersub{}","plainCitation":"6","noteIndex":0},"citationItems":[{"id":29774,"uris":["http://zotero.org/users/5729315/items/T4HIXYG2"],"uri":["http://zotero.org/users/5729315/items/T4HIXYG2"],"itemData":{"id":29774,"type":"report","language":"English","page":"1 - 36","publisher":"National Disability Insurance Agency","title":"NDIS Participant Employment Strategy 2019 - 2022","URL":"https://www.ndis.gov.au/about-us/strategies/participant-employment-strategy","author":[{"family":"National Disability Insurance Agency","given":""}],"issued":{"date-parts":[["2019"]]}}}],"schema":"https://github.com/citation-style-language/schema/raw/master/csl-citation.json"}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6</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We excluded studies that included people with other diagnoses but did not separately report the data on participants with autism, intellectual disability and/or psychosocial disability. </w:t>
      </w:r>
    </w:p>
    <w:p w14:paraId="71074A1A" w14:textId="6AA6BE82" w:rsidR="007E6707" w:rsidRPr="00584BCB" w:rsidRDefault="007E6707" w:rsidP="007E6707">
      <w:pPr>
        <w:spacing w:line="240" w:lineRule="auto"/>
        <w:rPr>
          <w:rFonts w:ascii="Rubik" w:hAnsi="Rubik"/>
          <w:color w:val="000000" w:themeColor="text1"/>
          <w:sz w:val="24"/>
          <w:szCs w:val="24"/>
        </w:rPr>
      </w:pPr>
      <w:r w:rsidRPr="00584BCB">
        <w:rPr>
          <w:rFonts w:ascii="Rubik" w:hAnsi="Rubik"/>
          <w:b/>
          <w:bCs/>
          <w:color w:val="000000" w:themeColor="text1"/>
          <w:sz w:val="24"/>
          <w:szCs w:val="24"/>
        </w:rPr>
        <w:t>A note on terminology</w:t>
      </w:r>
    </w:p>
    <w:p w14:paraId="5AC64E52" w14:textId="638F8868" w:rsidR="00B4241C" w:rsidRPr="00584BCB" w:rsidRDefault="00B4241C" w:rsidP="00B4241C">
      <w:pPr>
        <w:spacing w:line="240" w:lineRule="auto"/>
        <w:rPr>
          <w:rFonts w:ascii="Rubik" w:hAnsi="Rubik"/>
          <w:color w:val="000000" w:themeColor="text1"/>
          <w:sz w:val="22"/>
        </w:rPr>
      </w:pPr>
      <w:r w:rsidRPr="00584BCB">
        <w:rPr>
          <w:rFonts w:ascii="Rubik" w:hAnsi="Rubik" w:cs="Helvetica"/>
          <w:color w:val="000000" w:themeColor="text1"/>
          <w:sz w:val="22"/>
          <w:szCs w:val="28"/>
          <w:lang w:val="en-US"/>
        </w:rPr>
        <w:t>Different countries use different terminology to refer to employment programs and workplaces. For example, Australia uses the terminology ‘supported employment’ to refer to workplaces designed specifically for workers with disability who are usually paid below award wages (Australian Disability Enterprises) while the US and other countries use 'supported employment' to refer to 'vocational programs'. Other countries use the term ‘</w:t>
      </w:r>
      <w:r w:rsidR="001007FB" w:rsidRPr="00584BCB">
        <w:rPr>
          <w:rFonts w:ascii="Rubik" w:hAnsi="Rubik" w:cs="Helvetica"/>
          <w:color w:val="000000" w:themeColor="text1"/>
          <w:sz w:val="22"/>
          <w:szCs w:val="28"/>
          <w:lang w:val="en-US"/>
        </w:rPr>
        <w:t>supported</w:t>
      </w:r>
      <w:r w:rsidRPr="00584BCB">
        <w:rPr>
          <w:rFonts w:ascii="Rubik" w:hAnsi="Rubik" w:cs="Helvetica"/>
          <w:color w:val="000000" w:themeColor="text1"/>
          <w:sz w:val="22"/>
          <w:szCs w:val="28"/>
          <w:lang w:val="en-US"/>
        </w:rPr>
        <w:t xml:space="preserve"> employment’ to refer what Australia calls supported employment. To maintain consistency with the typology and Australian practice we adopt the language used Australia. However, in the tables we refer to programs by name so have not removed supported employment from those titles but have indicated that they are vocational programs in the text that describes them.</w:t>
      </w:r>
    </w:p>
    <w:p w14:paraId="682C87FF" w14:textId="178E4420" w:rsidR="006E092F" w:rsidRPr="00584BCB" w:rsidRDefault="00BD1825" w:rsidP="005C7481">
      <w:pPr>
        <w:spacing w:line="240" w:lineRule="auto"/>
        <w:rPr>
          <w:rFonts w:ascii="Rubik" w:hAnsi="Rubik"/>
          <w:color w:val="000000" w:themeColor="text1"/>
          <w:sz w:val="24"/>
          <w:szCs w:val="24"/>
        </w:rPr>
      </w:pPr>
      <w:r w:rsidRPr="00584BCB">
        <w:rPr>
          <w:rFonts w:ascii="Rubik" w:hAnsi="Rubik"/>
          <w:b/>
          <w:bCs/>
          <w:color w:val="000000" w:themeColor="text1"/>
          <w:sz w:val="24"/>
          <w:szCs w:val="24"/>
        </w:rPr>
        <w:t>Interventions</w:t>
      </w:r>
    </w:p>
    <w:p w14:paraId="377CB1D3" w14:textId="477787E8"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Eligible interventions included a vocational </w:t>
      </w:r>
      <w:r w:rsidR="00B241F2" w:rsidRPr="00584BCB">
        <w:rPr>
          <w:rFonts w:ascii="Rubik" w:hAnsi="Rubik"/>
          <w:color w:val="000000" w:themeColor="text1"/>
          <w:sz w:val="22"/>
        </w:rPr>
        <w:t>component and</w:t>
      </w:r>
      <w:r w:rsidRPr="00584BCB">
        <w:rPr>
          <w:rFonts w:ascii="Rubik" w:hAnsi="Rubik"/>
          <w:color w:val="000000" w:themeColor="text1"/>
          <w:sz w:val="22"/>
        </w:rPr>
        <w:t xml:space="preserve"> were aimed at increasing participation in open or supported employment. This may include skills development, career counselling, work experience, work placement programs, active labour market programs, supported </w:t>
      </w:r>
      <w:r w:rsidRPr="00584BCB">
        <w:rPr>
          <w:rFonts w:ascii="Rubik" w:hAnsi="Rubik"/>
          <w:color w:val="000000" w:themeColor="text1"/>
          <w:sz w:val="22"/>
        </w:rPr>
        <w:lastRenderedPageBreak/>
        <w:t xml:space="preserve">employment, user-led organisations, customised employment, and workplace practices. We excluded interventions that included medical or pharmacological components, such as antidepressants for people with psychosocial disability arising from depression and psychological interventions such as cognitive-behavioural therapy, unless these were part of both the intervention and control arms, and the intervention arm included a vocational component. </w:t>
      </w:r>
    </w:p>
    <w:p w14:paraId="78086252" w14:textId="47D83EDD" w:rsidR="006E092F" w:rsidRPr="00584BCB" w:rsidRDefault="00BD1825" w:rsidP="005C7481">
      <w:pPr>
        <w:spacing w:line="240" w:lineRule="auto"/>
        <w:rPr>
          <w:rFonts w:ascii="Rubik" w:hAnsi="Rubik"/>
          <w:color w:val="000000" w:themeColor="text1"/>
          <w:sz w:val="24"/>
          <w:szCs w:val="24"/>
        </w:rPr>
      </w:pPr>
      <w:r w:rsidRPr="00584BCB">
        <w:rPr>
          <w:rFonts w:ascii="Rubik" w:hAnsi="Rubik"/>
          <w:b/>
          <w:bCs/>
          <w:color w:val="000000" w:themeColor="text1"/>
          <w:sz w:val="24"/>
          <w:szCs w:val="24"/>
        </w:rPr>
        <w:t>Comparator/control</w:t>
      </w:r>
      <w:r w:rsidRPr="00584BCB">
        <w:rPr>
          <w:rFonts w:ascii="Rubik" w:hAnsi="Rubik"/>
          <w:color w:val="000000" w:themeColor="text1"/>
          <w:sz w:val="24"/>
          <w:szCs w:val="24"/>
        </w:rPr>
        <w:t xml:space="preserve"> </w:t>
      </w:r>
    </w:p>
    <w:p w14:paraId="45BEAAE4" w14:textId="0F6A31E2"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We included studies where the control group either received no intervention (a passive or wait-list control condition) or received an active control intervention that fit the criteria of an eligible intervention.</w:t>
      </w:r>
    </w:p>
    <w:p w14:paraId="53C8CB9E" w14:textId="77777777" w:rsidR="00BD1825" w:rsidRPr="00584BCB" w:rsidRDefault="00BD1825" w:rsidP="005C7481">
      <w:pPr>
        <w:pStyle w:val="Heading2"/>
        <w:rPr>
          <w:rFonts w:ascii="Rubik" w:hAnsi="Rubik"/>
          <w:bCs/>
          <w:color w:val="000000" w:themeColor="text1"/>
          <w:szCs w:val="24"/>
        </w:rPr>
      </w:pPr>
      <w:bookmarkStart w:id="24" w:name="_Toc66716602"/>
      <w:r w:rsidRPr="00584BCB">
        <w:rPr>
          <w:rFonts w:ascii="Rubik" w:hAnsi="Rubik"/>
          <w:bCs/>
          <w:color w:val="000000" w:themeColor="text1"/>
          <w:szCs w:val="24"/>
        </w:rPr>
        <w:t>Search Strategy</w:t>
      </w:r>
      <w:bookmarkEnd w:id="24"/>
    </w:p>
    <w:p w14:paraId="59384F14"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We searched the following electronic databases from 2010 to 2020</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{"citationID":"FTjKNyIW","properties":{"formattedCitation":"\\super 5,7\\nosupersub{}","plainCitation":"5,7","noteIndex":0},"citationItems":[{"id":29775,"uris":["http://zotero.org/users/5729315/items/DUPACDI9"],"uri":["http://zotero.org/users/5729315/items/DUPACDI9"],"itemData":{"id":29775,"type":"article-journal","abstract":"Purpose This systematic review analyzed the effectiveness of rehabilitation interventions on the employment and functioning of people with intellectual disabilities (ID), as well as barriers and facilitators of employment. Methods This was a systematic review of quantitative, qualitative, and mixed methods studies. The outcomes were employment, transition to the open labor market and functioning. The review included qualitative studies of employment barriers and facilitators. The population comprised people with ID aged 16–68 years. Peer-reviewed articles published in English between January 1990 and February 2019 were obtained from the databases Cinahl, the Cochrane Library, Embase, Eric, Medic, Medline, OTseeker, Pedro, PsycInfo, PubMed, Socindex, and the Web of Science. We also searched Google Scholar and Base. The modified selection instrument (PIOS: participants, intervention, outcome, and study design) used in the selection of the articles depended on the selection criteria. Results Ten quantitative (one randomized controlled, one concurrently controlled, and eight cohort studies), six qualitative studies, one multimethod study, and 21 case studies met the inclusion criteria. The quantitative studies showed that secondary education increases employment among people with ID when it includes work experience and personal support services. Supported employment also increased employment in the open labor market, which sheltered work did not. The barriers to employment were the use of sheltered work, discrimination in vocational experience, the use of class teaching, and deficient work experience while still at school. The facilitators of employment were one’s own activity, the support of one’s family, job coaching, a well-designed work environment, appreciation of one’s work, support form one’s employer and work organization, knowledge and experience of employment during secondary education, and for entrepreneurs, the use of a support person. Conclusions The employment of people with ID can be improved through secondary education including proper teaching methods and personal support services, the use of supported work, workplace accommodations and support from one’s family and employer. These results can be utilized in the development of rehabilitation, education, and the employment of people with ID, to allow them the opportunity to work in the open labor market and participate in society. © 2019, The Author(s).","archive":"Scopus","container-title":"Journal of Occupational Rehabilitation","DOI":"10.1007/s10926-019-09837-2","issue":"4","page":"773-802","source":"Scopus","title":"The Effectiveness of Rehabilitation Interventions on the Employment and Functioning of People with Intellectual Disabilities: A Systematic Review","title-short":"The Effectiveness of Rehabilitation Interventions on the Employment and Functioning of People with Intellectual Disabilities","volume":"29","author":[{"family":"Nevala","given":"N."},{"family":"Pehkonen","given":"I."},{"family":"Teittinen","given":"A."},{"family":"Vesala","given":"H.T."},{"family":"Pörtfors","given":"P."},{"family":"Anttila","given":"H."}],"issued":{"date-parts":[["2019"]]}},"label":"page"},{"id":109115,"uris":["http://zotero.org/users/5729315/items/9M7KY5YH"],"uri":["http://zotero.org/users/5729315/items/9M7KY5YH"],"itemData":{"id":109115,"type":"article-journal","container-title":"Cochrane Database of Systematic Reviews","DOI":"10.1002/14651858.CD011867.pub2","ISSN":"1465-1858","issue":"9","language":"en","note":"publisher: John Wiley &amp; Sons, Ltd","source":"www.cochranelibrary.com","title":"Interventions for obtaining and maintaining employment in adults with severe mental illness, a network meta</w:instrText>
      </w:r>
      <w:r w:rsidRPr="00584BCB">
        <w:rPr>
          <w:rFonts w:ascii="Cambria Math" w:hAnsi="Cambria Math" w:cs="Cambria Math"/>
          <w:color w:val="000000" w:themeColor="text1"/>
          <w:sz w:val="22"/>
        </w:rPr>
        <w:instrText>‐</w:instrText>
      </w:r>
      <w:r w:rsidRPr="00584BCB">
        <w:rPr>
          <w:rFonts w:ascii="Rubik" w:hAnsi="Rubik"/>
          <w:color w:val="000000" w:themeColor="text1"/>
          <w:sz w:val="22"/>
        </w:rPr>
        <w:instrText xml:space="preserve">analysis","URL":"https://www.cochranelibrary.com/cdsr/doi/10.1002/14651858.CD011867.pub2/full","author":[{"family":"Suijkerbuijk","given":"Yvonne B."},{"family":"Schaafsma","given":"Frederieke G."},{"family":"Mechelen","given":"Joost C.","dropping-particle":"van"},{"family":"Ojajärvi","given":"Anneli"},{"family":"Corbière","given":"Marc"},{"family":"Anema","given":"Johannes R."}],"accessed":{"date-parts":[["2020",12,15]]},"issued":{"date-parts":[["2017"]]}},"label":"page"}],"schema":"https://github.com/citation-style-language/schema/raw/master/csl-citation.json"}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5,7</w:t>
      </w:r>
      <w:r w:rsidRPr="00584BCB">
        <w:rPr>
          <w:rFonts w:ascii="Rubik" w:hAnsi="Rubik"/>
          <w:color w:val="000000" w:themeColor="text1"/>
          <w:sz w:val="22"/>
        </w:rPr>
        <w:fldChar w:fldCharType="end"/>
      </w:r>
      <w:r w:rsidRPr="00584BCB">
        <w:rPr>
          <w:rFonts w:ascii="Rubik" w:hAnsi="Rubik"/>
          <w:color w:val="000000" w:themeColor="text1"/>
          <w:sz w:val="22"/>
        </w:rPr>
        <w:t xml:space="preserve">: MEDLINE (Ovid), Embase (Ovid), PsycINFO (EbscoHost), CINAHL (EbscoHost), ERIC (EbscoHost), Scopus and Web of Science. </w:t>
      </w:r>
    </w:p>
    <w:p w14:paraId="603E9492"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Our database-specific search strategies for RCTs and non-randomised studies are included as Supplementary file 2. We also checked reference lists of systematic reviews that were identified through the literature search and environmental scan as highly relevant (we identified four</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{"citationID":"viEvOkhx","properties":{"formattedCitation":"\\super 5,8\\uc0\\u8211{}10\\nosupersub{}","plainCitation":"5,8–10","noteIndex":0},"citationItems":[{"id":109118,"uris":["http://zotero.org/users/5729315/items/FZJTC347"],"uri":["http://zotero.org/users/5729315/items/FZJTC347"],"itemData":{"id":109118,"type":"article-journal","abstract":"Background: Employment rates for Australians with an intellectual disability remain low. Effective evidence-based strategies are required to guide future interventions, to enable people with intellectual disability achieve better employment outcomes.Methods: A literature search of peer-reviewed articles published between 2001 and 2015 was conducted using four electronic databases. Articles were reviewed and sorted according to employment setting and type of support provided.Results: Twenty-two studies were identified. Four studies of open employment examined workplace level strategies and 17 investigated individual level strategies. A single study of supported employment examined individual level change. Results suggested potential strategies that can be utilised to support people with intellectual disability obtain and maintain employment.Conclusions: Existing evidence regarding open employment for people with intellectual disabilities could be enhanced through the conduct of rigorous outcomes-focused studies that attend to specific strategies at both individual and organisation levels.","container-title":"Journal of Intellectual &amp; Developmental Disability","DOI":"10.3109/13668250.2017.1327040","ISSN":"1366-8250","issue":"3","note":"publisher: Taylor &amp; Francis\n_eprint: https://doi.org/10.3109/13668250.2017.1327040","page":"317-327","source":"Taylor and Francis+NEJM","title":"What constitutes effective support in obtaining and maintaining employment for individuals with intellectual disability? A scoping review","title-short":"What constitutes effective support in obtaining and maintaining employment for individuals with intellectual disability?","volume":"43","author":[{"family":"Cheng","given":"Cindy"},{"family":"Oakman","given":"Jodi"},{"family":"Bigby","given":"Christine"},{"family":"Fossey","given":"Ellie"},{"family":"Cavanagh","given":"Jillian"},{"family":"Meacham","given":"Hannah"},{"family":"Bartram","given":"Timothy"}],"issued":{"date-parts":[["2018",7,3]]}},"label":"page"},{"id":109120,"uris":["http://zotero.org/users/5729315/items/NH5SQBS9"],"uri":["http://zotero.org/users/5729315/items/NH5SQBS9"],"itemData":{"id":109120,"type":"article-journal","abstract":"Individuals with autism spectrum disorder face significant challenges entering the workforce; yet research in this area is limited and the issues are poorly understood. In this systematic review, empirical peer-reviewed studies on employment programmes, interventions and employment-related outcomes in individuals with autism spectrum disorder over 18</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with and without intellectual disability were identified and evaluated. The review was prefaced by a summary of previous systematic reviews in the area. Web of Science, Medline, PsychINFO, ERIC and Scopus databases were systematically searched through to October 2015. From 32,829 records identified in the initial search, 10 review and 50 empirical articles, comprising N</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58,134 individuals with autism spectrum disorder, were included in the review. Selected articles were organised into the following themes: employment experiences, employment as a primary outcome, development of workplace skills, non-employment-related outcomes, assessment instruments, employer-focused and economic impact. Empirical studies were limited by poor participant characterisation, small sample size and/or a lack of randomisation and use of appropriate controls. Poor conceptualisation and measurement of outcomes significantly limited study quality and interpretation. Future research will require a multidisciplinary and multifaceted approach to explore employment outcomes on the individual, the family system, co-workers and the employer, along with the impact of individual differences on outcome.","container-title":"Autism","DOI":"10.1177/1362361316661855","ISSN":"1362-3613","issue":"8","journalAbbreviation":"Autism","language":"en","note":"publisher: SAGE Publications Ltd","page":"929-941","source":"SAGE Journals","title":"Employment programmes and interventions targeting adults with autism spectrum disorder: A systematic review of the literature","title-short":"Employment programmes and interventions targeting adults with autism spectrum disorder","volume":"21","author":[{"family":"Hedley","given":"Darren"},{"family":"Uljarević","given":"Mirko"},{"family":"Cameron","given":"Lauren"},{"family":"Halder","given":"Santoshi"},{"family":"Richdale","given":"Amanda"},{"family":"Dissanayake","given":"Cheryl"}],"issued":{"date-parts":[["2017",11,1]]}},"label":"page"},{"id":109121,"uris":["http://zotero.org/users/5729315/items/KMXRB6RA"],"uri":["http://zotero.org/users/5729315/items/KMXRB6RA"],"itemData":{"id":109121,"type":"article-journal","abstract":"Background\n                        Individual placement and support (IPS) is a vocational rehabilitation\n                           programme that was developed in the USA to improve employment outcomes\n                           for people with severe mental illness. Its ability to be generalised to\n                           other countries and its effectiveness in varying economic conditions\n                           remains to be ascertained.\n                     \n                     \n                        Aims\n                        To investigate whether IPS is effective across international settings and\n                           in different economic conditions.\n                     \n                     \n                        Method\n                        A systematic review and meta-analysis of randomised controlled trials\n                           comparing IPS with traditional vocational services was undertaken; 17\n                           studies, as well as 2 follow-up studies, were included. Meta-regressions\n                           were carried out to examine whether IPS effectiveness varied according to\n                           geographic location, unemployment rates or gross domestic product (GDP)\n                           growth.\n                     \n                     \n                        Results\n                        The overall pooled risk ratio for competitive employment using IPS\n                           compared with traditional vocational rehabilitation was 2.40 (95% CI\n                           1.99–2.90). Meta-regressions indicated that neither geographic area nor\n                           unemployment rates affected the overall effectiveness of IPS. Even when a\n                           country's GDP growth was less than 2% IPS was significantly more\n                           effective than traditional vocational training, and its benefits remained\n                           evident over 2 years.\n                     \n                     \n                        Conclusions\n                        Individual placement and support is an effective intervention across a\n                           variety of settings and economic conditions and is more than twice as\n                           likely to lead to competitive employment when compared with traditional\n                           vocational rehabilitation.","container-title":"The British Journal of Psychiatry","DOI":"10.1192/bjp.bp.115.165092","ISSN":"0007-1250, 1472-1465","issue":"1","language":"en","note":"publisher: Cambridge University Press","page":"14-22","source":"Cambridge University Press","title":"Supported employment for people with severe mental illness: Systematic review and meta-analysis of the international evidence","title-short":"Supported employment for people with severe mental illness","volume":"209","author":[{"family":"Modini","given":"Matthew"},{"family":"Tan","given":"Leona"},{"family":"Brinchmann","given":"Beate"},{"family":"Wang","given":"Min-Jung"},{"family":"Killackey","given":"Eoin"},{"family":"Glozier","given":"Nicholas"},{"family":"Mykletun","given":"Arnstein"},{"family":"Harvey","given":"Samuel B."}],"issued":{"date-parts":[["2016",7]]}},"label":"page"},{"id":109115,"uris":["http://zotero.org/users/5729315/items/9M7KY5YH"],"uri":["http://zotero.org/users/5729315/items/9M7KY5YH"],"itemData":{"id":109115,"type":"article-journal","container-title":"Cochrane Database of Systematic Reviews","DOI":"10.1002/14651858.CD011867.pub2","ISSN":"1465-1858","issue":"9","language":"en","note":"publisher: John Wiley &amp; Sons, Ltd","source":"www.cochranelibrary.com","title":"Interventions for obtaining and maintaining employment in adults with severe mental illness, a network meta</w:instrText>
      </w:r>
      <w:r w:rsidRPr="00584BCB">
        <w:rPr>
          <w:rFonts w:ascii="Cambria Math" w:hAnsi="Cambria Math" w:cs="Cambria Math"/>
          <w:color w:val="000000" w:themeColor="text1"/>
          <w:sz w:val="22"/>
          <w:vertAlign w:val="superscript"/>
        </w:rPr>
        <w:instrText>‐</w:instrText>
      </w:r>
      <w:r w:rsidRPr="00584BCB">
        <w:rPr>
          <w:rFonts w:ascii="Rubik" w:hAnsi="Rubik"/>
          <w:color w:val="000000" w:themeColor="text1"/>
          <w:sz w:val="22"/>
          <w:vertAlign w:val="superscript"/>
        </w:rPr>
        <w:instrText xml:space="preserve">analysis","URL":"https://www.cochranelibrary.com/cdsr/doi/10.1002/14651858.CD011867.pub2/full","author":[{"family":"Suijkerbuijk","given":"Yvonne B."},{"family":"Schaafsma","given":"Frederieke G."},{"family":"Mechelen","given":"Joost C.","dropping-particle":"van"},{"family":"Ojajärvi","given":"Anneli"},{"family":"Corbière","given":"Marc"},{"family":"Anema","given":"Johannes R."}],"accessed":{"date-parts":[["2020",12,15]]},"issued":{"date-parts":[["2017"]]}},"label":"page"}],"schema":"https://github.com/citation-style-language/schema/raw/master/csl-citation.json"}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5,8–10</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to ensure no RCTs were missed in the search.</w:t>
      </w:r>
    </w:p>
    <w:p w14:paraId="5BD68ADE"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To screen studies for inclusion, we used COVIDENCE software, an online management tool that enables a team of researchers to independently screen titles and abstract, full-text articles, and remove duplicates for systematic literature reviews. After duplicates were removed, two researchers independently reviewed titles and abstracts. Publications identified for further review underwent independent </w:t>
      </w:r>
      <w:r w:rsidRPr="00584BCB">
        <w:rPr>
          <w:rFonts w:ascii="Rubik" w:hAnsi="Rubik"/>
          <w:color w:val="000000" w:themeColor="text1"/>
          <w:sz w:val="22"/>
        </w:rPr>
        <w:t xml:space="preserve">full-text screening to determine final eligibility by two researchers. COVIDENCE identified any discrepancies in screening which were discussed with the researchers. A third researcher resolved disagreements if reviewers one and two could not reach agreement. </w:t>
      </w:r>
    </w:p>
    <w:p w14:paraId="509A3AB8" w14:textId="77777777" w:rsidR="00BD1825" w:rsidRPr="00584BCB" w:rsidRDefault="00BD1825" w:rsidP="005C7481">
      <w:pPr>
        <w:pStyle w:val="Heading2"/>
        <w:rPr>
          <w:rFonts w:ascii="Rubik" w:hAnsi="Rubik"/>
          <w:bCs/>
          <w:color w:val="000000" w:themeColor="text1"/>
          <w:szCs w:val="24"/>
        </w:rPr>
      </w:pPr>
      <w:bookmarkStart w:id="25" w:name="_Toc66716603"/>
      <w:r w:rsidRPr="00584BCB">
        <w:rPr>
          <w:rFonts w:ascii="Rubik" w:hAnsi="Rubik"/>
          <w:bCs/>
          <w:color w:val="000000" w:themeColor="text1"/>
          <w:szCs w:val="24"/>
        </w:rPr>
        <w:t>Outcome measures</w:t>
      </w:r>
      <w:bookmarkEnd w:id="25"/>
    </w:p>
    <w:p w14:paraId="47CB770A"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We only included studies that measured and reported at least one of the primary outcomes for this systematic review: the number or proportion of participants who obtained 1) open employment or 2) supported employment; at pre-intervention and post-intervention. We include the follow-up time closest to end of intervention, but no longer than 12 months post-intervention. </w:t>
      </w:r>
    </w:p>
    <w:p w14:paraId="63A29E6F" w14:textId="692AEBD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Additional outcomes included: 3) Sustained employment measured by the number of participants who have maintained employment at a follow-up timepoint closest to but longer than 12 months post-intervention; 4) Job satisfaction at pre-intervention and post-intervention if employed (only if measured using a tool validated for people with </w:t>
      </w:r>
      <w:r w:rsidR="000823D5" w:rsidRPr="00584BCB">
        <w:rPr>
          <w:rFonts w:ascii="Rubik" w:hAnsi="Rubik"/>
          <w:color w:val="000000" w:themeColor="text1"/>
          <w:sz w:val="22"/>
        </w:rPr>
        <w:t>disability</w:t>
      </w:r>
      <w:r w:rsidRPr="00584BCB">
        <w:rPr>
          <w:rFonts w:ascii="Rubik" w:hAnsi="Rubik"/>
          <w:color w:val="000000" w:themeColor="text1"/>
          <w:sz w:val="22"/>
        </w:rPr>
        <w:t>) and 5) Work readiness</w:t>
      </w:r>
      <w:r w:rsidR="005C7481" w:rsidRPr="00584BCB">
        <w:rPr>
          <w:rFonts w:ascii="Rubik" w:hAnsi="Rubik"/>
          <w:color w:val="000000" w:themeColor="text1"/>
          <w:sz w:val="22"/>
        </w:rPr>
        <w:t xml:space="preserve"> </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{"citationID":"7Hn6v0rr","properties":{"formattedCitation":"\\super 11,12\\nosupersub{}","plainCitation":"11,12","noteIndex":0},"citationItems":[{"id":29665,"uris":["http://zotero.org/users/5729315/items/35ZE47PM"],"uri":["http://zotero.org/users/5729315/items/35ZE47PM"],"itemData":{"id":29665,"type":"article-journal","abstract":"Purpose: To assess performance differences in a mock job interview and workplace role-play exercise for youth with disabilities compared to their typically developing peers. Methods: We evaluated a purposive sample of 31 youth (15 with a physical disability and 16 typically developing) on their performance (content and delivery) in employment readiness role-play exercises. Results: Our findings show significant differences between youth with disabilities compared to typically developing peers in several areas of the mock interview content (i.e. responses to the questions: \"tell me about yourself\", \"how would you provide feedback to someone not doing their share\" and a problem-solving scenario question) and delivery (i.e. voice clarity and mean latency). We found no significant differences in the workplace role-play performances of youth with and without disabilities. Conclusions: Youth with physical disabilities performed poorer in some areas of a job interview compared to their typically developing peers. They could benefit from further targeted employment readiness training.Implications for RehabilitationClinicians should:Coach youth with physical disability on how to \"sell\" their abilities to potential employers and encourage youth to get involved in volunteer activities and employment readiness training programs.Consider using mock job interviews and other employment role-play exercises as assessment and training tools for youth with physical disabilities.Involve speech pathologists in the development of employment readiness programs that address voice clarity as a potential delivery issue. © 2014 Informa UK Ltd. All rights reserved: reproduction in whole or part not permitted.","archive":"Scopus","container-title":"Disability and Rehabilitation","DOI":"10.3109/09638288.2014.973968","issue":"18","page":"1651-1663","source":"Scopus","title":"Exploring employment readiness through mock job interview and workplace role-play exercises: Comparing youth with physical disabilities to their typically developing peers","title-short":"Exploring employment readiness through mock job interview and workplace role-play exercises","volume":"37","author":[{"family":"Lindsay","given":"S."},{"family":"McDougall","given":"C."},{"family":"Sanford","given":"R."},{"family":"Menna-Dack","given":"D."},{"family":"Kingsnorth","given":"S."},{"family":"Adams","given":"T."}],"issued":{"date-parts":[["2015"]]}},"label":"page"},{"id":29670,"uris":["http://zotero.org/users/5729315/items/ZC6D5EVI"],"uri":["http://zotero.org/users/5729315/items/ZC6D5EVI"],"itemData":{"id":29670,"type":"article-journal","abstract":"Background: Although there are currently more than 200 Project SEARCH programs throughout the U.S., evidence supporting the program's efficacy remains limited. Objective: This pilot study examines the relationship between participation in Project SEARCH, a business-led transition program, and job readiness and employment rates of 10 young adults with disabilities. Methods: Baseline and end-of-year data were gathered on participants' job readiness skills using a 29-item Job Readiness Assessment Tool (JRAT) developed for this purpose. Interviews with key stakeholders were conducted in order to identify perceptions regarding areas of growth for participants, as well as ongoing challenges. Results: Based on JRAT scores, participants demonstrated significant growth overall, as well as demonstrating significant growth in a majority of specific entry-level job skills and workplace behaviors. Sixty percent of participants were offered permanent jobs within three months of the program's conclusion. No significant differences emerged between job coach/instructor evaluations and supervisor evaluations. End-of-year JRAT scores were significantly higher for participants offered jobs than for those not offered jobs. Conclusions: The Project SEARCH model holds promise for increasing participants' job readiness and employment rates. Further, the JRAT may offer a useful means of predicting job readiness for Project SEARCH participants.","archive":"Scopus","container-title":"Journal of Vocational Rehabilitation","DOI":"10.3233/JVR-130660","issue":"1","page":"15-26","source":"Scopus","title":"The relationship between participation in Project SEARCH and job readiness and employment for young adults with disabilities","volume":"40","author":[{"family":"Müller","given":"E."},{"family":"Vangilder","given":"R."}],"issued":{"date-parts":[["2014"]]}},"label":"page"}],"schema":"https://github.com/citation-style-language/schema/raw/master/csl-citation.json"}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11,12</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at pre-intervention and post-intervention (only if measured using a tool validated for people with </w:t>
      </w:r>
      <w:r w:rsidR="000823D5" w:rsidRPr="00584BCB">
        <w:rPr>
          <w:rFonts w:ascii="Rubik" w:hAnsi="Rubik"/>
          <w:color w:val="000000" w:themeColor="text1"/>
          <w:sz w:val="22"/>
        </w:rPr>
        <w:t>disability</w:t>
      </w:r>
      <w:r w:rsidRPr="00584BCB">
        <w:rPr>
          <w:rFonts w:ascii="Rubik" w:hAnsi="Rubik"/>
          <w:color w:val="000000" w:themeColor="text1"/>
          <w:sz w:val="22"/>
        </w:rPr>
        <w:t>).</w:t>
      </w:r>
    </w:p>
    <w:p w14:paraId="70A5066D"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If the evidence was sufficiently strong and consistent for the implementation of interventions we summarised, where possible, 6) reports of barriers and facilitators for the successful implementation of interventions, and 7) cost-effectiveness of interventions.</w:t>
      </w:r>
    </w:p>
    <w:p w14:paraId="05F47857" w14:textId="3CEA0F06" w:rsidR="00BD1825" w:rsidRPr="00584BCB" w:rsidRDefault="00BD1825" w:rsidP="005C7481">
      <w:pPr>
        <w:pStyle w:val="Heading2"/>
        <w:rPr>
          <w:rFonts w:ascii="Rubik" w:hAnsi="Rubik"/>
          <w:bCs/>
          <w:color w:val="000000" w:themeColor="text1"/>
          <w:szCs w:val="24"/>
        </w:rPr>
      </w:pPr>
      <w:bookmarkStart w:id="26" w:name="_Toc66716604"/>
      <w:r w:rsidRPr="00584BCB">
        <w:rPr>
          <w:rFonts w:ascii="Rubik" w:hAnsi="Rubik"/>
          <w:bCs/>
          <w:color w:val="000000" w:themeColor="text1"/>
          <w:szCs w:val="24"/>
        </w:rPr>
        <w:t xml:space="preserve">Data </w:t>
      </w:r>
      <w:r w:rsidR="007E6707" w:rsidRPr="00584BCB">
        <w:rPr>
          <w:rFonts w:ascii="Rubik" w:hAnsi="Rubik"/>
          <w:bCs/>
          <w:color w:val="000000" w:themeColor="text1"/>
          <w:szCs w:val="24"/>
        </w:rPr>
        <w:t>e</w:t>
      </w:r>
      <w:r w:rsidRPr="00584BCB">
        <w:rPr>
          <w:rFonts w:ascii="Rubik" w:hAnsi="Rubik"/>
          <w:bCs/>
          <w:color w:val="000000" w:themeColor="text1"/>
          <w:szCs w:val="24"/>
        </w:rPr>
        <w:t>xtraction</w:t>
      </w:r>
      <w:bookmarkEnd w:id="26"/>
    </w:p>
    <w:p w14:paraId="18676E53" w14:textId="4B2460C8" w:rsidR="00E52EBA" w:rsidRPr="00584BCB" w:rsidRDefault="00BD1825" w:rsidP="00E52EBA">
      <w:pPr>
        <w:spacing w:line="240" w:lineRule="auto"/>
        <w:rPr>
          <w:rFonts w:ascii="Rubik" w:hAnsi="Rubik"/>
          <w:color w:val="000000" w:themeColor="text1"/>
          <w:sz w:val="22"/>
        </w:rPr>
      </w:pPr>
      <w:r w:rsidRPr="00584BCB">
        <w:rPr>
          <w:rFonts w:ascii="Rubik" w:hAnsi="Rubik"/>
          <w:color w:val="000000" w:themeColor="text1"/>
          <w:sz w:val="22"/>
        </w:rPr>
        <w:t xml:space="preserve">One researcher extracted data using an excel spreadsheet template. A second researcher in the team extracted data for randomly selected studies, for comparison of interrater reliability. Discrepancies were resolved at various time points and discussed with a third person to enable clarification on </w:t>
      </w:r>
      <w:r w:rsidRPr="00584BCB">
        <w:rPr>
          <w:rFonts w:ascii="Rubik" w:hAnsi="Rubik"/>
          <w:color w:val="000000" w:themeColor="text1"/>
          <w:sz w:val="22"/>
        </w:rPr>
        <w:lastRenderedPageBreak/>
        <w:t>subjective areas of data extraction. After the second researcher had extracted data for 11 studies, and several iterations, no more discrepancies were found. For each included study, we extracted the following:</w:t>
      </w:r>
      <w:r w:rsidR="00696736" w:rsidRPr="00584BCB">
        <w:rPr>
          <w:rFonts w:ascii="Rubik" w:hAnsi="Rubik"/>
          <w:color w:val="000000" w:themeColor="text1"/>
          <w:sz w:val="22"/>
        </w:rPr>
        <w:br/>
      </w:r>
      <w:r w:rsidR="00696736" w:rsidRPr="00584BCB">
        <w:rPr>
          <w:rFonts w:ascii="Rubik" w:hAnsi="Rubik"/>
          <w:color w:val="000000" w:themeColor="text1"/>
          <w:sz w:val="22"/>
        </w:rPr>
        <w:br/>
      </w:r>
      <w:r w:rsidR="00696736" w:rsidRPr="00584BCB">
        <w:rPr>
          <w:rFonts w:ascii="Rubik" w:hAnsi="Rubik"/>
          <w:color w:val="000000" w:themeColor="text1"/>
          <w:sz w:val="22"/>
        </w:rPr>
        <w:br/>
      </w:r>
    </w:p>
    <w:p w14:paraId="7701D84C" w14:textId="77777777" w:rsidR="00BD1825" w:rsidRPr="00584BCB" w:rsidRDefault="00BD1825" w:rsidP="005C7481">
      <w:pPr>
        <w:pStyle w:val="ListParagraph"/>
        <w:numPr>
          <w:ilvl w:val="0"/>
          <w:numId w:val="40"/>
        </w:numPr>
        <w:spacing w:line="240" w:lineRule="auto"/>
        <w:rPr>
          <w:rFonts w:ascii="Rubik" w:hAnsi="Rubik"/>
          <w:color w:val="000000" w:themeColor="text1"/>
          <w:sz w:val="22"/>
        </w:rPr>
      </w:pPr>
      <w:r w:rsidRPr="00584BCB">
        <w:rPr>
          <w:rFonts w:ascii="Rubik" w:hAnsi="Rubik"/>
          <w:color w:val="000000" w:themeColor="text1"/>
          <w:sz w:val="22"/>
        </w:rPr>
        <w:t>Authors, year of publication</w:t>
      </w:r>
    </w:p>
    <w:p w14:paraId="1CD3DB5D" w14:textId="77777777" w:rsidR="00BD1825" w:rsidRPr="00584BCB" w:rsidRDefault="00BD1825" w:rsidP="005C7481">
      <w:pPr>
        <w:pStyle w:val="ListParagraph"/>
        <w:numPr>
          <w:ilvl w:val="0"/>
          <w:numId w:val="40"/>
        </w:numPr>
        <w:spacing w:line="240" w:lineRule="auto"/>
        <w:rPr>
          <w:rFonts w:ascii="Rubik" w:hAnsi="Rubik"/>
          <w:color w:val="000000" w:themeColor="text1"/>
          <w:sz w:val="22"/>
        </w:rPr>
      </w:pPr>
      <w:r w:rsidRPr="00584BCB">
        <w:rPr>
          <w:rFonts w:ascii="Rubik" w:hAnsi="Rubik"/>
          <w:color w:val="000000" w:themeColor="text1"/>
          <w:sz w:val="22"/>
        </w:rPr>
        <w:t>Methods: study location, study setting, study design, allocation method, randomisation method, relevant follow-up timepoints</w:t>
      </w:r>
    </w:p>
    <w:p w14:paraId="06934D17" w14:textId="77777777" w:rsidR="00BD1825" w:rsidRPr="00584BCB" w:rsidRDefault="00BD1825" w:rsidP="005C7481">
      <w:pPr>
        <w:pStyle w:val="ListParagraph"/>
        <w:numPr>
          <w:ilvl w:val="0"/>
          <w:numId w:val="40"/>
        </w:numPr>
        <w:spacing w:line="240" w:lineRule="auto"/>
        <w:rPr>
          <w:rFonts w:ascii="Rubik" w:hAnsi="Rubik"/>
          <w:color w:val="000000" w:themeColor="text1"/>
          <w:sz w:val="22"/>
        </w:rPr>
      </w:pPr>
      <w:r w:rsidRPr="00584BCB">
        <w:rPr>
          <w:rFonts w:ascii="Rubik" w:hAnsi="Rubik"/>
          <w:color w:val="000000" w:themeColor="text1"/>
          <w:sz w:val="22"/>
        </w:rPr>
        <w:t>Participants: sample size, inclusion and exclusion criteria, enrolment year, disability type, diagnostic criteria, gender, age, employment status</w:t>
      </w:r>
    </w:p>
    <w:p w14:paraId="5C0117B6" w14:textId="6F377563" w:rsidR="00BD1825" w:rsidRPr="00584BCB" w:rsidRDefault="00BD1825" w:rsidP="005C7481">
      <w:pPr>
        <w:pStyle w:val="ListParagraph"/>
        <w:numPr>
          <w:ilvl w:val="0"/>
          <w:numId w:val="40"/>
        </w:numPr>
        <w:spacing w:line="240" w:lineRule="auto"/>
        <w:rPr>
          <w:rFonts w:ascii="Rubik" w:hAnsi="Rubik"/>
          <w:color w:val="000000" w:themeColor="text1"/>
          <w:sz w:val="22"/>
        </w:rPr>
      </w:pPr>
      <w:r w:rsidRPr="00584BCB">
        <w:rPr>
          <w:rFonts w:ascii="Rubik" w:hAnsi="Rubik"/>
          <w:b/>
          <w:bCs/>
          <w:color w:val="000000" w:themeColor="text1"/>
          <w:sz w:val="22"/>
        </w:rPr>
        <w:t>Interventions</w:t>
      </w:r>
      <w:r w:rsidR="00820590" w:rsidRPr="00584BCB">
        <w:rPr>
          <w:rFonts w:ascii="Rubik" w:hAnsi="Rubik"/>
          <w:b/>
          <w:bCs/>
          <w:color w:val="000000" w:themeColor="text1"/>
          <w:sz w:val="22"/>
        </w:rPr>
        <w:t>:</w:t>
      </w:r>
      <w:r w:rsidR="00E52EBA" w:rsidRPr="00584BCB">
        <w:rPr>
          <w:rFonts w:ascii="Rubik" w:hAnsi="Rubik"/>
          <w:color w:val="000000" w:themeColor="text1"/>
          <w:sz w:val="22"/>
        </w:rPr>
        <w:t xml:space="preserve"> c</w:t>
      </w:r>
      <w:r w:rsidRPr="00584BCB">
        <w:rPr>
          <w:rFonts w:ascii="Rubik" w:hAnsi="Rubik"/>
          <w:color w:val="000000" w:themeColor="text1"/>
          <w:sz w:val="22"/>
        </w:rPr>
        <w:t>ontrol/comparator description and duration, intervention description and duration, number of participants in intervention and control conditions at baseline and follow-up timepoints</w:t>
      </w:r>
    </w:p>
    <w:p w14:paraId="30F78F57" w14:textId="3D9F4077" w:rsidR="00BD1825" w:rsidRPr="00584BCB" w:rsidRDefault="00BD1825" w:rsidP="001C3592">
      <w:pPr>
        <w:pStyle w:val="ListParagraph"/>
        <w:numPr>
          <w:ilvl w:val="0"/>
          <w:numId w:val="40"/>
        </w:numPr>
        <w:spacing w:line="240" w:lineRule="auto"/>
        <w:rPr>
          <w:rFonts w:ascii="Rubik" w:hAnsi="Rubik"/>
          <w:color w:val="000000" w:themeColor="text1"/>
          <w:sz w:val="22"/>
        </w:rPr>
      </w:pPr>
      <w:r w:rsidRPr="00584BCB">
        <w:rPr>
          <w:rFonts w:ascii="Rubik" w:hAnsi="Rubik"/>
          <w:b/>
          <w:bCs/>
          <w:color w:val="000000" w:themeColor="text1"/>
          <w:sz w:val="22"/>
        </w:rPr>
        <w:t>Outcomes</w:t>
      </w:r>
      <w:r w:rsidR="00820590" w:rsidRPr="00584BCB">
        <w:rPr>
          <w:rFonts w:ascii="Rubik" w:hAnsi="Rubik"/>
          <w:color w:val="000000" w:themeColor="text1"/>
          <w:sz w:val="22"/>
        </w:rPr>
        <w:t xml:space="preserve">: </w:t>
      </w:r>
      <w:r w:rsidR="00E52EBA" w:rsidRPr="00584BCB">
        <w:rPr>
          <w:rFonts w:ascii="Rubik" w:hAnsi="Rubik"/>
          <w:color w:val="000000" w:themeColor="text1"/>
          <w:sz w:val="22"/>
        </w:rPr>
        <w:br/>
      </w:r>
      <w:r w:rsidRPr="00584BCB">
        <w:rPr>
          <w:rFonts w:ascii="Rubik" w:hAnsi="Rubik"/>
          <w:color w:val="000000" w:themeColor="text1"/>
          <w:sz w:val="22"/>
        </w:rPr>
        <w:t xml:space="preserve">definition of open or supported employment (measured at pre-intervention, post-intervention, and further follow-up if available), the number of participants who obtained supported or open employment, sustained employment, job satisfaction and the tool used to measure job satisfaction, work readiness and the tool used to measure work readiness. Where there was sufficient evidence for the implementation of intervention, data were extracted on barriers and enablers for successful implementation and cost effectiveness of </w:t>
      </w:r>
      <w:r w:rsidRPr="00584BCB">
        <w:rPr>
          <w:rFonts w:ascii="Rubik" w:hAnsi="Rubik"/>
          <w:color w:val="000000" w:themeColor="text1"/>
          <w:sz w:val="22"/>
        </w:rPr>
        <w:t>interventions if assessed in the study</w:t>
      </w:r>
    </w:p>
    <w:p w14:paraId="2442B780" w14:textId="2178E57B" w:rsidR="00BD1825" w:rsidRPr="00584BCB" w:rsidRDefault="00BD1825" w:rsidP="005C7481">
      <w:pPr>
        <w:pStyle w:val="ListParagraph"/>
        <w:numPr>
          <w:ilvl w:val="0"/>
          <w:numId w:val="40"/>
        </w:numPr>
        <w:spacing w:line="240" w:lineRule="auto"/>
        <w:rPr>
          <w:rFonts w:ascii="Rubik" w:hAnsi="Rubik"/>
          <w:color w:val="000000" w:themeColor="text1"/>
          <w:sz w:val="22"/>
        </w:rPr>
      </w:pPr>
      <w:r w:rsidRPr="00584BCB">
        <w:rPr>
          <w:rFonts w:ascii="Rubik" w:hAnsi="Rubik"/>
          <w:b/>
          <w:bCs/>
          <w:color w:val="000000" w:themeColor="text1"/>
          <w:sz w:val="22"/>
        </w:rPr>
        <w:t>Analysis</w:t>
      </w:r>
      <w:r w:rsidR="00820590" w:rsidRPr="00584BCB">
        <w:rPr>
          <w:rFonts w:ascii="Rubik" w:hAnsi="Rubik"/>
          <w:color w:val="000000" w:themeColor="text1"/>
          <w:sz w:val="22"/>
        </w:rPr>
        <w:t>:</w:t>
      </w:r>
      <w:r w:rsidR="00666B86" w:rsidRPr="00584BCB">
        <w:rPr>
          <w:rFonts w:ascii="Rubik" w:hAnsi="Rubik"/>
          <w:color w:val="000000" w:themeColor="text1"/>
          <w:sz w:val="22"/>
        </w:rPr>
        <w:t xml:space="preserve"> </w:t>
      </w:r>
      <w:r w:rsidR="00E52EBA" w:rsidRPr="00584BCB">
        <w:rPr>
          <w:rFonts w:ascii="Rubik" w:hAnsi="Rubik"/>
          <w:color w:val="000000" w:themeColor="text1"/>
          <w:sz w:val="22"/>
        </w:rPr>
        <w:br/>
      </w:r>
      <w:r w:rsidRPr="00584BCB">
        <w:rPr>
          <w:rFonts w:ascii="Rubik" w:hAnsi="Rubik"/>
          <w:color w:val="000000" w:themeColor="text1"/>
          <w:sz w:val="22"/>
        </w:rPr>
        <w:t>method for missing data, type of analysis</w:t>
      </w:r>
    </w:p>
    <w:p w14:paraId="2E867A80"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We obtained the descriptive statistics and outcomes of analysis as reported by the individual studies for the narrative synthesis including numbers, percentages, odds ratios (OR), effect sizes, 95% confidence intervals, mean and standard deviations, and p-values. We contacted authors for additional details or clarification if the information we required was not available in the articles. </w:t>
      </w:r>
    </w:p>
    <w:p w14:paraId="78164189" w14:textId="77777777" w:rsidR="00BD1825" w:rsidRPr="00584BCB" w:rsidRDefault="00BD1825" w:rsidP="005C7481">
      <w:pPr>
        <w:pStyle w:val="Heading2"/>
        <w:rPr>
          <w:rFonts w:ascii="Rubik" w:hAnsi="Rubik"/>
          <w:bCs/>
          <w:color w:val="000000" w:themeColor="text1"/>
          <w:szCs w:val="24"/>
        </w:rPr>
      </w:pPr>
      <w:bookmarkStart w:id="27" w:name="_Toc66716605"/>
      <w:r w:rsidRPr="00584BCB">
        <w:rPr>
          <w:rFonts w:ascii="Rubik" w:hAnsi="Rubik"/>
          <w:bCs/>
          <w:color w:val="000000" w:themeColor="text1"/>
          <w:szCs w:val="24"/>
        </w:rPr>
        <w:t>Assessment of Risk of Bias</w:t>
      </w:r>
      <w:bookmarkEnd w:id="27"/>
    </w:p>
    <w:p w14:paraId="08DD1816"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One researcher assessed the risk of bias of each in an excel spreadsheet template. A second researcher independently assessed the risk of bias for 10% (three) randomly selected studies to ensure interrater reliability; discrepancies were resolved through discussion. If there were large discrepancies identified in assessment, another 10% would be undertaken, but this was not necessary. </w:t>
      </w:r>
    </w:p>
    <w:p w14:paraId="24F1CC73"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For RCTs we used the Cochrane Collaboration Risk of Bias (RoB) Tool</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{"citationID":"J96GdMZT","properties":{"formattedCitation":"\\super 13\\nosupersub{}","plainCitation":"13","noteIndex":0},"citationItems":[{"id":29781,"uris":["http://zotero.org/users/5729315/items/TBK24JYT"],"uri":["http://zotero.org/users/5729315/items/TBK24JYT"],"itemData":{"id":29781,"type":"article-journal","abstract":"&lt;p&gt;Flaws in the design, conduct, analysis, and reporting of randomised trials can cause the effect of an intervention to be underestimated or overestimated. The Cochrane Collaboration’s tool for assessing risk of bias aims to make the process clearer and more accurate&lt;/p&gt;","container-title":"BMJ","DOI":"10.1136/bmj.d5928","ISSN":"0959-8138, 1468-5833","journalAbbreviation":"BMJ","language":"en","note":"publisher: British Medical Journal Publishing Group\nsection: Research Methods &amp;amp; Reporting\nPMID: 22008217","source":"www.bmj.com","title":"The Cochrane Collaboration’s tool for assessing risk of bias in randomised trials","URL":"https://www.bmj.com/content/343/bmj.d5928","volume":"343","author":[{"family":"Higgins","given":"Julian P. T."},{"family":"Altman","given":"Douglas G."},{"family":"Gøtzsche","given":"Peter C."},{"family":"Jüni","given":"Peter"},{"family":"Moher","given":"David"},{"family":"Oxman","given":"Andrew D."},{"family":"Savović","given":"Jelena"},{"family":"Schulz","given":"Kenneth F."},{"family":"Weeks","given":"Laura"},{"family":"Sterne","given":"Jonathan A. C."}],"accessed":{"date-parts":[["2020",10,5]]},"issued":{"date-parts":[["2011",10,18]]}}}],"schema":"https://github.com/citation-style-language/schema/raw/master/csl-citation.json"}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13</w:t>
      </w:r>
      <w:r w:rsidRPr="00584BCB">
        <w:rPr>
          <w:rFonts w:ascii="Rubik" w:hAnsi="Rubik"/>
          <w:color w:val="000000" w:themeColor="text1"/>
          <w:sz w:val="22"/>
        </w:rPr>
        <w:fldChar w:fldCharType="end"/>
      </w:r>
      <w:r w:rsidRPr="00584BCB">
        <w:rPr>
          <w:rFonts w:ascii="Rubik" w:hAnsi="Rubik"/>
          <w:color w:val="000000" w:themeColor="text1"/>
          <w:sz w:val="22"/>
        </w:rPr>
        <w:t xml:space="preserve">, which assesses 1) sequence generation, 2) allocation concealment, 3) blinding of participants and personnel, 4) blinding of outcome assessors, 5) incomplete outcome data, 6) selective outcome reporting and 7) other sources of bias. The overall risk of bias for each randomised controlled trial was scored and reported on. </w:t>
      </w:r>
    </w:p>
    <w:p w14:paraId="6B3D240D"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If non-randomised studies were deemed necessary for inclusion, we planned to use the Joanna Briggs Institute (JBI) Critical Appraisal Checklist for Cohort Studies for cohort studies and the JBI Critical Appraisal Checklist for Quasi-Experimental Studies for quasi-experimental studies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{"citationID":"xKQ9eCh8","properties":{"formattedCitation":"\\super 14\\nosupersub{}","plainCitation":"14","noteIndex":0},"citationItems":[{"id":29804,"uris":["http://zotero.org/users/5729315/items/VQTB647Z"],"uri":["http://zotero.org/users/5729315/items/VQTB647Z"],"itemData":{"id":29804,"type":"article-journal","container-title":"BMJ (Clinical research ed.)","DOI":"10.1136/bmj.i4919","ISSN":"1756-1833","language":"eng","note":"PMID: 27733354\nPMCID: PMC5062054","page":"i4919","source":"PubMed","title":"ROBINS-I: a tool for assessing risk of bias in non-randomised studies of interventions","title-short":"ROBINS-I","volume":"355","author":[{"family":"Sterne","given":"Jonathan Ac"},{"family":"Hernán","given":"Miguel A."},{"family":"Reeves","given":"Barnaby C."},{"family":"Savović","given":"Jelena"},{"family":"Berkman","given":"Nancy D."},{"family":"Viswanathan","given":"Meera"},{"family":"Henry","given":"David"},{"family":"Altman","given":"Douglas G."},{"family":"Ansari","given":"Mohammed T."},{"family":"Boutron","given":"Isabelle"},{"family":"Carpenter","given":"James R."},{"family":"Chan","given":"An-Wen"},{"family":"Churchill","given":"Rachel"},{"family":"Deeks","given":"Jonathan J."},{"family":"Hróbjartsson","given":"Asbjørn"},{"family":"Kirkham","given":"Jamie"},{"family":"Jüni","given":"Peter"},{"family":"Loke","given":"Yoon K."},{"family":"Pigott","given":"Theresa D."},{"family":"Ramsay","given":"Craig R."},{"family":"Regidor","given":"Deborah"},{"family":"Rothstein","given":"Hannah R."},{"family":"Sandhu","given":"Lakhbir"},{"family":"Santaguida","given":"Pasqualina L."},{"family":"Schünemann","given":"Holger J."},{"family":"Shea","given":"Beverly"},{"family":"Shrier","given":"Ian"},{"family":"Tugwell","given":"Peter"},{"family":"Turner","given":"Lucy"},{"family":"Valentine","given":"Jeffrey C."},{"family":"Waddington","given":"Hugh"},{"family":"Waters","given":"Elizabeth"},{"family":"Wells","given":"George A."},{"family":"Whiting","given":"Penny F."},{"family":"Higgins","given":"Julian Pt"}],"issued":{"date-parts":[["2016",10,12]]}}}],"schema":"https://github.com/citation-style-language/schema/raw/master/csl-citation.json"}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14</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239D037B"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lastRenderedPageBreak/>
        <w:t>We planned to assess the strength of the evidence using Grading of Recommendations, Assessment, Development and Evaluation (GRADE) if a meta-analysis was possible.</w:t>
      </w:r>
    </w:p>
    <w:p w14:paraId="599B49CB" w14:textId="77777777" w:rsidR="00BD1825" w:rsidRPr="00584BCB" w:rsidRDefault="00BD1825" w:rsidP="005C7481">
      <w:pPr>
        <w:pStyle w:val="Heading2"/>
        <w:rPr>
          <w:rFonts w:ascii="Rubik" w:hAnsi="Rubik"/>
          <w:bCs/>
          <w:color w:val="000000" w:themeColor="text1"/>
          <w:szCs w:val="24"/>
        </w:rPr>
      </w:pPr>
      <w:bookmarkStart w:id="28" w:name="_Toc66716606"/>
      <w:r w:rsidRPr="00584BCB">
        <w:rPr>
          <w:rFonts w:ascii="Rubik" w:hAnsi="Rubik"/>
          <w:bCs/>
          <w:color w:val="000000" w:themeColor="text1"/>
          <w:szCs w:val="24"/>
        </w:rPr>
        <w:t>Data synthesis and analysis</w:t>
      </w:r>
      <w:bookmarkEnd w:id="28"/>
    </w:p>
    <w:p w14:paraId="356ACEDB"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We generated descriptive statistics for each of the studies that met our eligibility criteria and study population characteristics across all eligible studies. The characteristics describe the types of comparisons and key clinical and methodological characteristics of the eligible studies (e.g., year of publication, age of participants, types of disability, type of interventions, and outcome measure).</w:t>
      </w:r>
    </w:p>
    <w:p w14:paraId="5D8E86CA" w14:textId="77777777"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If studies were of sufficient quality and there was consistency across studies in terms of study design, outcome measure, intervention and control/comparator, we planned to conduct a random-effects meta-analysis on the primary outcomes using STATA, as well as GRADE assessment for strength of evidence. If a meta-analysis was not feasible, a comprehensive narrative synthesis was planned for the primary outcomes per type of disability. We performed a narrative synthesis for the secondary outcomes (not per type of disability). For each included study, we provided summaries of the risk of bias assessment. </w:t>
      </w:r>
    </w:p>
    <w:p w14:paraId="0D283C17" w14:textId="77777777" w:rsidR="00BD1825" w:rsidRPr="00584BCB" w:rsidRDefault="00BD1825" w:rsidP="00BE76F9">
      <w:pPr>
        <w:pStyle w:val="Heading1"/>
        <w:rPr>
          <w:color w:val="000000" w:themeColor="text1"/>
        </w:rPr>
      </w:pPr>
      <w:bookmarkStart w:id="29" w:name="_Toc66716607"/>
      <w:r w:rsidRPr="00584BCB">
        <w:rPr>
          <w:color w:val="000000" w:themeColor="text1"/>
        </w:rPr>
        <w:t>Results</w:t>
      </w:r>
      <w:bookmarkEnd w:id="29"/>
    </w:p>
    <w:p w14:paraId="5B960131" w14:textId="77777777" w:rsidR="00BD1825" w:rsidRPr="00584BCB" w:rsidRDefault="00BD1825" w:rsidP="005C7481">
      <w:pPr>
        <w:pStyle w:val="Heading2"/>
        <w:rPr>
          <w:rFonts w:ascii="Rubik" w:hAnsi="Rubik"/>
          <w:bCs/>
          <w:color w:val="000000" w:themeColor="text1"/>
          <w:szCs w:val="24"/>
        </w:rPr>
      </w:pPr>
      <w:bookmarkStart w:id="30" w:name="_Toc66716608"/>
      <w:r w:rsidRPr="00584BCB">
        <w:rPr>
          <w:rFonts w:ascii="Rubik" w:hAnsi="Rubik"/>
          <w:bCs/>
          <w:color w:val="000000" w:themeColor="text1"/>
          <w:szCs w:val="24"/>
        </w:rPr>
        <w:t>Study Selection</w:t>
      </w:r>
      <w:bookmarkEnd w:id="30"/>
    </w:p>
    <w:p w14:paraId="24B88F8A" w14:textId="04E8E93F"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Our first search, for RCTs, resulted in 2213 articles for abstract and title screening after the removal of 1886 duplicates </w:t>
      </w:r>
      <w:r w:rsidRPr="00584BCB">
        <w:rPr>
          <w:rFonts w:ascii="Rubik" w:hAnsi="Rubik"/>
          <w:i/>
          <w:iCs/>
          <w:color w:val="000000" w:themeColor="text1"/>
          <w:sz w:val="22"/>
        </w:rPr>
        <w:t>(Figure 1).</w:t>
      </w:r>
      <w:r w:rsidRPr="00584BCB">
        <w:rPr>
          <w:rFonts w:ascii="Rubik" w:hAnsi="Rubik"/>
          <w:color w:val="000000" w:themeColor="text1"/>
          <w:sz w:val="22"/>
        </w:rPr>
        <w:t xml:space="preserve"> One hundred and seventeen articles underwent full text screening, from which 29 articles were eligible, which included 26 individual studies and 3 articles reported on sustained employment outcomes from the original studies. There were 23 </w:t>
      </w:r>
      <w:r w:rsidRPr="00584BCB">
        <w:rPr>
          <w:rFonts w:ascii="Rubik" w:hAnsi="Rubik"/>
          <w:color w:val="000000" w:themeColor="text1"/>
          <w:sz w:val="22"/>
        </w:rPr>
        <w:t xml:space="preserve">studies on people with psychosocial </w:t>
      </w:r>
      <w:r w:rsidR="00456CB4" w:rsidRPr="00584BCB">
        <w:rPr>
          <w:rFonts w:ascii="Rubik" w:hAnsi="Rubik"/>
          <w:color w:val="000000" w:themeColor="text1"/>
          <w:sz w:val="22"/>
        </w:rPr>
        <w:t>disability</w:t>
      </w:r>
      <w:r w:rsidRPr="00584BCB">
        <w:rPr>
          <w:rFonts w:ascii="Rubik" w:hAnsi="Rubik"/>
          <w:color w:val="000000" w:themeColor="text1"/>
          <w:sz w:val="22"/>
        </w:rPr>
        <w:t xml:space="preserve">, and three studies on people with autism. No RCTs were identified for people with intellectual </w:t>
      </w:r>
      <w:r w:rsidR="00456CB4" w:rsidRPr="00584BCB">
        <w:rPr>
          <w:rFonts w:ascii="Rubik" w:hAnsi="Rubik"/>
          <w:color w:val="000000" w:themeColor="text1"/>
          <w:sz w:val="22"/>
        </w:rPr>
        <w:t>disability</w:t>
      </w:r>
      <w:r w:rsidRPr="00584BCB">
        <w:rPr>
          <w:rFonts w:ascii="Rubik" w:hAnsi="Rubik"/>
          <w:color w:val="000000" w:themeColor="text1"/>
          <w:sz w:val="22"/>
        </w:rPr>
        <w:t>. No additional RCTs were identified from screening the reference lists of relevant literature reviews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{"citationID":"Ph5FwaLI","properties":{"formattedCitation":"\\super 5,8\\uc0\\u8211{}10\\nosupersub{}","plainCitation":"5,8–10","noteIndex":0},"citationItems":[{"id":109118,"uris":["http://zotero.org/users/5729315/items/FZJTC347"],"uri":["http://zotero.org/users/5729315/items/FZJTC347"],"itemData":{"id":109118,"type":"article-journal","abstract":"Background: Employment rates for Australians with an intellectual disability remain low. Effective evidence-based strategies are required to guide future interventions, to enable people with intellectual disability achieve better employment outcomes.Methods: A literature search of peer-reviewed articles published between 2001 and 2015 was conducted using four electronic databases. Articles were reviewed and sorted according to employment setting and type of support provided.Results: Twenty-two studies were identified. Four studies of open employment examined workplace level strategies and 17 investigated individual level strategies. A single study of supported employment examined individual level change. Results suggested potential strategies that can be utilised to support people with intellectual disability obtain and maintain employment.Conclusions: Existing evidence regarding open employment for people with intellectual disabilities could be enhanced through the conduct of rigorous outcomes-focused studies that attend to specific strategies at both individual and organisation levels.","container-title":"Journal of Intellectual &amp; Developmental Disability","DOI":"10.3109/13668250.2017.1327040","ISSN":"1366-8250","issue":"3","note":"publisher: Taylor &amp; Francis\n_eprint: https://doi.org/10.3109/13668250.2017.1327040","page":"317-327","source":"Taylor and Francis+NEJM","title":"What constitutes effective support in obtaining and maintaining employment for individuals with intellectual disability? A scoping review","title-short":"What constitutes effective support in obtaining and maintaining employment for individuals with intellectual disability?","volume":"43","author":[{"family":"Cheng","given":"Cindy"},{"family":"Oakman","given":"Jodi"},{"family":"Bigby","given":"Christine"},{"family":"Fossey","given":"Ellie"},{"family":"Cavanagh","given":"Jillian"},{"family":"Meacham","given":"Hannah"},{"family":"Bartram","given":"Timothy"}],"issued":{"date-parts":[["2018",7,3]]}},"label":"page"},{"id":109120,"uris":["http://zotero.org/users/5729315/items/NH5SQBS9"],"uri":["http://zotero.org/users/5729315/items/NH5SQBS9"],"itemData":{"id":109120,"type":"article-journal","abstract":"Individuals with autism spectrum disorder face significant challenges entering the workforce; yet research in this area is limited and the issues are poorly understood. In this systematic review, empirical peer-reviewed studies on employment programmes, interventions and employment-related outcomes in individuals with autism spectrum disorder over 18</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years with and without intellectual disability were identified and evaluated. The review was prefaced by a summary of previous systematic reviews in the area. Web of Science, Medline, PsychINFO, ERIC and Scopus databases were systematically searched through to October 2015. From 32,829 records identified in the initial search, 10 review and 50 empirical articles, comprising N</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58,134 individuals with autism spectrum disorder, were included in the review. Selected articles were organised into the following themes: employment experiences, employment as a primary outcome, development of workplace skills, non-employment-related outcomes, assessment instruments, employer-focused and economic impact. Empirical studies were limited by poor participant characterisation, small sample size and/or a lack of randomisation and use of appropriate controls. Poor conceptualisation and measurement of outcomes significantly limited study quality and interpretation. Future research will require a multidisciplinary and multifaceted approach to explore employment outcomes on the individual, the family system, co-workers and the employer, along with the impact of individual differences on outcome.","container-title":"Autism","DOI":"10.1177/1362361316661855","ISSN":"1362-3613","issue":"8","journalAbbreviation":"Autism","language":"en","note":"publisher: SAGE Publications Ltd","page":"929-941","source":"SAGE Journals","title":"Employment programmes and interventions targeting adults with autism spectrum disorder: A systematic review of the literature","title-short":"Employment programmes and interventions targeting adults with autism spectrum disorder","volume":"21","author":[{"family":"Hedley","given":"Darren"},{"family":"Uljarević","given":"Mirko"},{"family":"Cameron","given":"Lauren"},{"family":"Halder","given":"Santoshi"},{"family":"Richdale","given":"Amanda"},{"family":"Dissanayake","given":"Cheryl"}],"issued":{"date-parts":[["2017",11,1]]}},"label":"page"},{"id":109121,"uris":["http://zotero.org/users/5729315/items/KMXRB6RA"],"uri":["http://zotero.org/users/5729315/items/KMXRB6RA"],"itemData":{"id":109121,"type":"article-journal","abstract":"Background\n                        Individual placement and support (IPS) is a vocational rehabilitation\n                           programme that was developed in the USA to improve employment outcomes\n                           for people with severe mental illness. Its ability to be generalised to\n                           other countries and its effectiveness in varying economic conditions\n                           remains to be ascertained.\n                     \n                     \n                        Aims\n                        To investigate whether IPS is effective across international settings and\n                           in different economic conditions.\n                     \n                     \n                        Method\n                        A systematic review and meta-analysis of randomised controlled trials\n                           comparing IPS with traditional vocational services was undertaken; 17\n                           studies, as well as 2 follow-up studies, were included. Meta-regressions\n                           were carried out to examine whether IPS effectiveness varied according to\n                           geographic location, unemployment rates or gross domestic product (GDP)\n                           growth.\n                     \n                     \n                        Results\n                        The overall pooled risk ratio for competitive employment using IPS\n                           compared with traditional vocational rehabilitation was 2.40 (95% CI\n                           1.99–2.90). Meta-regressions indicated that neither geographic area nor\n                           unemployment rates affected the overall effectiveness of IPS. Even when a\n                           country's GDP growth was less than 2% IPS was significantly more\n                           effective than traditional vocational training, and its benefits remained\n                           evident over 2 years.\n                     \n                     \n                        Conclusions\n                        Individual placement and support is an effective intervention across a\n                           variety of settings and economic conditions and is more than twice as\n                           likely to lead to competitive employment when compared with traditional\n                           vocational rehabilitation.","container-title":"The British Journal of Psychiatry","DOI":"10.1192/bjp.bp.115.165092","ISSN":"0007-1250, 1472-1465","issue":"1","language":"en","note":"publisher: Cambridge University Press","page":"14-22","source":"Cambridge University Press","title":"Supported employment for people with severe mental illness: Systematic review and meta-analysis of the international evidence","title-short":"Supported employment for people with severe mental illness","volume":"209","author":[{"family":"Modini","given":"Matthew"},{"family":"Tan","given":"Leona"},{"family":"Brinchmann","given":"Beate"},{"family":"Wang","given":"Min-Jung"},{"family":"Killackey","given":"Eoin"},{"family":"Glozier","given":"Nicholas"},{"family":"Mykletun","given":"Arnstein"},{"family":"Harvey","given":"Samuel B."}],"issued":{"date-parts":[["2016",7]]}},"label":"page"},{"id":109115,"uris":["http://zotero.org/users/5729315/items/9M7KY5YH"],"uri":["http://zotero.org/users/5729315/items/9M7KY5YH"],"itemData":{"id":109115,"type":"article-journal","container-title":"Cochrane Database of Systematic Reviews","DOI":"10.1002/14651858.CD011867.pub2","ISSN":"1465-1858","issue":"9","language":"en","note":"publisher: John Wiley &amp; Sons, Ltd","source":"www.cochranelibrary.com","title":"Interventions for obtaining and maintaining employment in adults with severe mental illness, a network meta</w:instrText>
      </w:r>
      <w:r w:rsidRPr="00584BCB">
        <w:rPr>
          <w:rFonts w:ascii="Cambria Math" w:hAnsi="Cambria Math" w:cs="Cambria Math"/>
          <w:color w:val="000000" w:themeColor="text1"/>
          <w:sz w:val="22"/>
        </w:rPr>
        <w:instrText>‐</w:instrText>
      </w:r>
      <w:r w:rsidRPr="00584BCB">
        <w:rPr>
          <w:rFonts w:ascii="Rubik" w:hAnsi="Rubik"/>
          <w:color w:val="000000" w:themeColor="text1"/>
          <w:sz w:val="22"/>
        </w:rPr>
        <w:instrText xml:space="preserve">analysis","URL":"https://www.cochranelibrary.com/cdsr/doi/10.1002/14651858.CD011867.pub2/full","author":[{"family":"Suijkerbuijk","given":"Yvonne B."},{"family":"Schaafsma","given":"Frederieke G."},{"family":"Mechelen","given":"Joost C.","dropping-particle":"van"},{"family":"Ojajärvi","given":"Anneli"},{"family":"Corbière","given":"Marc"},{"family":"Anema","given":"Johannes R."}],"accessed":{"date-parts":[["2020",12,15]]},"issued":{"date-parts":[["2017"]]}},"label":"page"}],"schema":"https://github.com/citation-style-language/schema/raw/master/csl-citation.json"}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5,8–10</w:t>
      </w:r>
      <w:r w:rsidRPr="00584BCB">
        <w:rPr>
          <w:rFonts w:ascii="Rubik" w:hAnsi="Rubik"/>
          <w:color w:val="000000" w:themeColor="text1"/>
          <w:sz w:val="22"/>
        </w:rPr>
        <w:fldChar w:fldCharType="end"/>
      </w:r>
      <w:r w:rsidRPr="00584BCB">
        <w:rPr>
          <w:rFonts w:ascii="Rubik" w:hAnsi="Rubik"/>
          <w:color w:val="000000" w:themeColor="text1"/>
          <w:sz w:val="22"/>
        </w:rPr>
        <w:t xml:space="preserve">. </w:t>
      </w:r>
    </w:p>
    <w:p w14:paraId="576779B2" w14:textId="1C697F73" w:rsidR="00BD1825" w:rsidRPr="00584BCB" w:rsidRDefault="00BD1825" w:rsidP="005C7481">
      <w:pPr>
        <w:spacing w:line="240" w:lineRule="auto"/>
        <w:rPr>
          <w:rFonts w:ascii="Rubik" w:hAnsi="Rubik"/>
          <w:color w:val="000000" w:themeColor="text1"/>
          <w:sz w:val="22"/>
        </w:rPr>
      </w:pPr>
      <w:r w:rsidRPr="00584BCB">
        <w:rPr>
          <w:rFonts w:ascii="Rubik" w:hAnsi="Rubik"/>
          <w:color w:val="000000" w:themeColor="text1"/>
          <w:sz w:val="22"/>
        </w:rPr>
        <w:t xml:space="preserve">Because we did not identify any RCT studies featuring people with intellectual </w:t>
      </w:r>
      <w:r w:rsidR="000823D5" w:rsidRPr="00584BCB">
        <w:rPr>
          <w:rFonts w:ascii="Rubik" w:hAnsi="Rubik"/>
          <w:color w:val="000000" w:themeColor="text1"/>
          <w:sz w:val="22"/>
        </w:rPr>
        <w:t>disability</w:t>
      </w:r>
      <w:r w:rsidRPr="00584BCB">
        <w:rPr>
          <w:rFonts w:ascii="Rubik" w:hAnsi="Rubik"/>
          <w:color w:val="000000" w:themeColor="text1"/>
          <w:sz w:val="22"/>
        </w:rPr>
        <w:t xml:space="preserve">, and only three focusing on people with autism, we performed another search (based on the previous search strategy, outlined in supplementary file </w:t>
      </w:r>
      <w:r w:rsidR="00703E57" w:rsidRPr="00584BCB">
        <w:rPr>
          <w:rFonts w:ascii="Rubik" w:hAnsi="Rubik"/>
          <w:color w:val="000000" w:themeColor="text1"/>
          <w:sz w:val="22"/>
        </w:rPr>
        <w:t>2</w:t>
      </w:r>
      <w:r w:rsidRPr="00584BCB">
        <w:rPr>
          <w:rFonts w:ascii="Rubik" w:hAnsi="Rubik"/>
          <w:color w:val="000000" w:themeColor="text1"/>
          <w:sz w:val="22"/>
        </w:rPr>
        <w:t xml:space="preserve">) for non-randomised interventions for these populations of interest. After the removal of 828 duplicates, we screened abstracts and titles of 688 articles </w:t>
      </w:r>
      <w:r w:rsidRPr="00584BCB">
        <w:rPr>
          <w:rFonts w:ascii="Rubik" w:hAnsi="Rubik"/>
          <w:i/>
          <w:iCs/>
          <w:color w:val="000000" w:themeColor="text1"/>
          <w:sz w:val="22"/>
        </w:rPr>
        <w:t>(Figure 2</w:t>
      </w:r>
      <w:r w:rsidRPr="00584BCB">
        <w:rPr>
          <w:rFonts w:ascii="Rubik" w:hAnsi="Rubik"/>
          <w:color w:val="000000" w:themeColor="text1"/>
          <w:sz w:val="22"/>
        </w:rPr>
        <w:t xml:space="preserve">). After full text screening of eight articles, only two studies were eligible for </w:t>
      </w:r>
      <w:r w:rsidR="005C7481" w:rsidRPr="00584BCB">
        <w:rPr>
          <w:rFonts w:ascii="Rubik" w:hAnsi="Rubik"/>
          <w:color w:val="000000" w:themeColor="text1"/>
          <w:sz w:val="22"/>
        </w:rPr>
        <w:t>inclusion:</w:t>
      </w:r>
      <w:r w:rsidRPr="00584BCB">
        <w:rPr>
          <w:rFonts w:ascii="Rubik" w:hAnsi="Rubik"/>
          <w:color w:val="000000" w:themeColor="text1"/>
          <w:sz w:val="22"/>
        </w:rPr>
        <w:t xml:space="preserve"> one study in people with autism and one in people with intellectual disability. Therefore, the two eligible non-randomised studies were included in the environmental scan, and the results reported here focussed only on RCTs identified in the first search. </w:t>
      </w:r>
    </w:p>
    <w:p w14:paraId="56DFDF41" w14:textId="77777777" w:rsidR="005C7481" w:rsidRPr="00584BCB" w:rsidRDefault="005C7481" w:rsidP="00BD1825">
      <w:pPr>
        <w:rPr>
          <w:rFonts w:ascii="Rubik" w:hAnsi="Rubik"/>
          <w:color w:val="000000" w:themeColor="text1"/>
          <w:sz w:val="22"/>
        </w:rPr>
        <w:sectPr w:rsidR="005C7481" w:rsidRPr="00584BCB" w:rsidSect="00BE76F9">
          <w:pgSz w:w="11900" w:h="16840"/>
          <w:pgMar w:top="1440" w:right="1440" w:bottom="1440" w:left="1440" w:header="720" w:footer="720" w:gutter="0"/>
          <w:cols w:num="2" w:space="709"/>
          <w:docGrid w:linePitch="272"/>
        </w:sectPr>
      </w:pPr>
    </w:p>
    <w:p w14:paraId="78B00F1F" w14:textId="77777777" w:rsidR="002E61E0" w:rsidRPr="00584BCB" w:rsidRDefault="00BE4A16" w:rsidP="002E61E0">
      <w:pPr>
        <w:keepNext/>
        <w:rPr>
          <w:color w:val="000000" w:themeColor="text1"/>
        </w:rPr>
      </w:pPr>
      <w:r w:rsidRPr="00584BCB">
        <w:rPr>
          <w:rFonts w:ascii="Calibri" w:eastAsia="Calibri" w:hAnsi="Calibri" w:cs="Times New Roman"/>
          <w:noProof/>
          <w:color w:val="000000" w:themeColor="text1"/>
          <w:sz w:val="24"/>
          <w:szCs w:val="24"/>
          <w:lang w:eastAsia="en-AU"/>
        </w:rPr>
        <w:lastRenderedPageBreak/>
        <mc:AlternateContent>
          <mc:Choice Requires="wpg">
            <w:drawing>
              <wp:inline distT="0" distB="0" distL="0" distR="0" wp14:anchorId="41E2CDCD" wp14:editId="7F982F10">
                <wp:extent cx="5694744" cy="8113486"/>
                <wp:effectExtent l="0" t="0" r="7620" b="14605"/>
                <wp:docPr id="9" name="Group 9" descr="This flow diagram shows that of the 4099 records identified initially, 2213 abstract and titles, and 117 full text articles were screened for eligibility. In total, 26 eligible studies were identified, described in 29 article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694744" cy="8113486"/>
                          <a:chOff x="0" y="0"/>
                          <a:chExt cx="6253691" cy="7340560"/>
                        </a:xfrm>
                      </wpg:grpSpPr>
                      <wps:wsp>
                        <wps:cNvPr id="10" name="Rounded Rectangle 10"/>
                        <wps:cNvSpPr/>
                        <wps:spPr>
                          <a:xfrm rot="16200000">
                            <a:off x="-1570355" y="1703705"/>
                            <a:ext cx="3470944" cy="28765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37F7D5E"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Identification</w:t>
                              </w:r>
                            </w:p>
                          </w:txbxContent>
                        </wps:txbx>
                        <wps:bodyPr wrap="square" rtlCol="0" anchor="ctr" anchorCtr="0">
                          <a:noAutofit/>
                        </wps:bodyPr>
                      </wps:wsp>
                      <wps:wsp>
                        <wps:cNvPr id="11" name="Rounded Rectangle 11"/>
                        <wps:cNvSpPr/>
                        <wps:spPr>
                          <a:xfrm rot="16200000">
                            <a:off x="-566420" y="4282440"/>
                            <a:ext cx="1421130" cy="288290"/>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303488FF"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Screening</w:t>
                              </w:r>
                            </w:p>
                          </w:txbxContent>
                        </wps:txbx>
                        <wps:bodyPr wrap="square" rtlCol="0" anchor="ctr" anchorCtr="0">
                          <a:noAutofit/>
                        </wps:bodyPr>
                      </wps:wsp>
                      <wps:wsp>
                        <wps:cNvPr id="12" name="Rounded Rectangle 12"/>
                        <wps:cNvSpPr/>
                        <wps:spPr>
                          <a:xfrm rot="16200000">
                            <a:off x="-314325" y="5601335"/>
                            <a:ext cx="944880" cy="28765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26FE1CAC"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Eligibility</w:t>
                              </w:r>
                            </w:p>
                          </w:txbxContent>
                        </wps:txbx>
                        <wps:bodyPr wrap="square" rtlCol="0" anchor="ctr" anchorCtr="0">
                          <a:noAutofit/>
                        </wps:bodyPr>
                      </wps:wsp>
                      <wps:wsp>
                        <wps:cNvPr id="13" name="Rounded Rectangle 13"/>
                        <wps:cNvSpPr/>
                        <wps:spPr>
                          <a:xfrm rot="16200000">
                            <a:off x="-262890" y="6630670"/>
                            <a:ext cx="866140" cy="287655"/>
                          </a:xfrm>
                          <a:prstGeom prst="roundRect">
                            <a:avLst/>
                          </a:prstGeom>
                          <a:solidFill>
                            <a:sysClr val="window" lastClr="FFFFFF">
                              <a:lumMod val="95000"/>
                            </a:sysClr>
                          </a:solidFill>
                          <a:ln w="12700" cap="flat" cmpd="sng" algn="ctr">
                            <a:solidFill>
                              <a:sysClr val="windowText" lastClr="000000"/>
                            </a:solidFill>
                            <a:prstDash val="solid"/>
                            <a:miter lim="800000"/>
                          </a:ln>
                          <a:effectLst/>
                        </wps:spPr>
                        <wps:txbx>
                          <w:txbxContent>
                            <w:p w14:paraId="4CD58312"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Included</w:t>
                              </w:r>
                            </w:p>
                          </w:txbxContent>
                        </wps:txbx>
                        <wps:bodyPr wrap="square" rtlCol="0" anchor="ctr" anchorCtr="0">
                          <a:noAutofit/>
                        </wps:bodyPr>
                      </wps:wsp>
                      <wpg:grpSp>
                        <wpg:cNvPr id="15" name="Group 15"/>
                        <wpg:cNvGrpSpPr/>
                        <wpg:grpSpPr>
                          <a:xfrm>
                            <a:off x="688340" y="0"/>
                            <a:ext cx="5565351" cy="7340560"/>
                            <a:chOff x="0" y="0"/>
                            <a:chExt cx="5565351" cy="7340560"/>
                          </a:xfrm>
                        </wpg:grpSpPr>
                        <wps:wsp>
                          <wps:cNvPr id="17" name="Text Box 17"/>
                          <wps:cNvSpPr txBox="1"/>
                          <wps:spPr>
                            <a:xfrm>
                              <a:off x="0" y="0"/>
                              <a:ext cx="3853971" cy="1772174"/>
                            </a:xfrm>
                            <a:prstGeom prst="rect">
                              <a:avLst/>
                            </a:prstGeom>
                            <a:solidFill>
                              <a:sysClr val="window" lastClr="FFFFFF"/>
                            </a:solidFill>
                            <a:ln w="6350">
                              <a:solidFill>
                                <a:prstClr val="black"/>
                              </a:solidFill>
                            </a:ln>
                          </wps:spPr>
                          <wps:txbx>
                            <w:txbxContent>
                              <w:p w14:paraId="707C9690"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identified through database searching (n = 4099): </w:t>
                                </w:r>
                              </w:p>
                              <w:p w14:paraId="76A90CF8"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Medline (n = 608)</w:t>
                                </w:r>
                              </w:p>
                              <w:p w14:paraId="4E636D45"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Embase (n = 1057)</w:t>
                                </w:r>
                              </w:p>
                              <w:p w14:paraId="5763CE8D"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PsycINFO (n = 633)</w:t>
                                </w:r>
                              </w:p>
                              <w:p w14:paraId="2AF7D2F0"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CINAHL (n = 927)</w:t>
                                </w:r>
                              </w:p>
                              <w:p w14:paraId="00640141"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ERIC (n = 29)</w:t>
                                </w:r>
                              </w:p>
                              <w:p w14:paraId="1790D9B5"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ERC (n = 59)</w:t>
                                </w:r>
                              </w:p>
                              <w:p w14:paraId="2AFCA5FC"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color w:val="000000"/>
                                    <w:kern w:val="28"/>
                                    <w:sz w:val="21"/>
                                    <w:szCs w:val="21"/>
                                    <w:lang w:val="en-CA"/>
                                  </w:rPr>
                                  <w:t>Web of Science (n = 459)</w:t>
                                </w:r>
                              </w:p>
                              <w:p w14:paraId="3978835A"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color w:val="000000"/>
                                    <w:kern w:val="28"/>
                                    <w:sz w:val="21"/>
                                    <w:szCs w:val="21"/>
                                    <w:lang w:val="en-CA"/>
                                  </w:rPr>
                                  <w:t>Scopus (n = 327)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568044" y="4179887"/>
                              <a:ext cx="1814475" cy="658180"/>
                            </a:xfrm>
                            <a:prstGeom prst="rect">
                              <a:avLst/>
                            </a:prstGeom>
                            <a:solidFill>
                              <a:sysClr val="window" lastClr="FFFFFF"/>
                            </a:solidFill>
                            <a:ln w="6350">
                              <a:solidFill>
                                <a:prstClr val="black"/>
                              </a:solidFill>
                            </a:ln>
                          </wps:spPr>
                          <wps:txbx>
                            <w:txbxContent>
                              <w:p w14:paraId="3378BF2C"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screened </w:t>
                                </w:r>
                              </w:p>
                              <w:p w14:paraId="3A4AD426"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2213)</w:t>
                                </w:r>
                              </w:p>
                              <w:p w14:paraId="63B9957C" w14:textId="77777777" w:rsidR="008D7089" w:rsidRPr="00147D46" w:rsidRDefault="008D7089" w:rsidP="00BE4A16">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AutoShape 17"/>
                          <wps:cNvCnPr>
                            <a:cxnSpLocks noChangeAspect="1" noEditPoints="1" noChangeArrowheads="1" noChangeShapeType="1"/>
                          </wps:cNvCnPr>
                          <wps:spPr bwMode="auto">
                            <a:xfrm>
                              <a:off x="1713394" y="1784694"/>
                              <a:ext cx="0" cy="38100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20" name="Text Box 20"/>
                          <wps:cNvSpPr txBox="1"/>
                          <wps:spPr>
                            <a:xfrm>
                              <a:off x="1982" y="2177978"/>
                              <a:ext cx="3382571" cy="437507"/>
                            </a:xfrm>
                            <a:prstGeom prst="rect">
                              <a:avLst/>
                            </a:prstGeom>
                            <a:solidFill>
                              <a:sysClr val="window" lastClr="FFFFFF"/>
                            </a:solidFill>
                            <a:ln w="6350">
                              <a:solidFill>
                                <a:prstClr val="black"/>
                              </a:solidFill>
                            </a:ln>
                          </wps:spPr>
                          <wps:txbx>
                            <w:txbxContent>
                              <w:p w14:paraId="202269E6" w14:textId="2A45A745"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ecords after 1835 duplicates removed in Zotero     (n = 2264)</w:t>
                                </w:r>
                              </w:p>
                              <w:p w14:paraId="634561A3" w14:textId="77777777" w:rsidR="008D7089" w:rsidRPr="00147D46" w:rsidRDefault="008D7089" w:rsidP="00BE4A16">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a:off x="2794000" y="4271503"/>
                              <a:ext cx="2413000" cy="507365"/>
                            </a:xfrm>
                            <a:prstGeom prst="rect">
                              <a:avLst/>
                            </a:prstGeom>
                            <a:solidFill>
                              <a:sysClr val="window" lastClr="FFFFFF"/>
                            </a:solidFill>
                            <a:ln w="6350">
                              <a:solidFill>
                                <a:prstClr val="black"/>
                              </a:solidFill>
                            </a:ln>
                          </wps:spPr>
                          <wps:txbx>
                            <w:txbxContent>
                              <w:p w14:paraId="0BF17F77"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excluded </w:t>
                                </w:r>
                              </w:p>
                              <w:p w14:paraId="4AB3AB68"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2096)</w:t>
                                </w:r>
                              </w:p>
                              <w:p w14:paraId="69C390F1" w14:textId="77777777" w:rsidR="008D7089" w:rsidRPr="00147D46" w:rsidRDefault="008D7089" w:rsidP="00BE4A16">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AutoShape 21"/>
                          <wps:cNvCnPr>
                            <a:cxnSpLocks noChangeAspect="1" noEditPoints="1" noChangeArrowheads="1" noChangeShapeType="1"/>
                          </wps:cNvCnPr>
                          <wps:spPr bwMode="auto">
                            <a:xfrm>
                              <a:off x="2400300" y="4622800"/>
                              <a:ext cx="393700" cy="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23" name="Text Box 23"/>
                          <wps:cNvSpPr txBox="1"/>
                          <wps:spPr>
                            <a:xfrm>
                              <a:off x="595657" y="5245100"/>
                              <a:ext cx="1786862" cy="672465"/>
                            </a:xfrm>
                            <a:prstGeom prst="rect">
                              <a:avLst/>
                            </a:prstGeom>
                            <a:solidFill>
                              <a:sysClr val="window" lastClr="FFFFFF"/>
                            </a:solidFill>
                            <a:ln w="6350">
                              <a:solidFill>
                                <a:prstClr val="black"/>
                              </a:solidFill>
                            </a:ln>
                          </wps:spPr>
                          <wps:txbx>
                            <w:txbxContent>
                              <w:p w14:paraId="1ED2BD54"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Full-text articles assessed for eligibility (n = 117)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Text Box 24"/>
                          <wps:cNvSpPr txBox="1"/>
                          <wps:spPr>
                            <a:xfrm>
                              <a:off x="581851" y="6324321"/>
                              <a:ext cx="1794834" cy="494665"/>
                            </a:xfrm>
                            <a:prstGeom prst="rect">
                              <a:avLst/>
                            </a:prstGeom>
                            <a:solidFill>
                              <a:sysClr val="window" lastClr="FFFFFF"/>
                            </a:solidFill>
                            <a:ln w="6350">
                              <a:solidFill>
                                <a:prstClr val="black"/>
                              </a:solidFill>
                            </a:ln>
                          </wps:spPr>
                          <wps:txbx>
                            <w:txbxContent>
                              <w:p w14:paraId="0037CBF3"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bCs/>
                                    <w:color w:val="000000"/>
                                    <w:kern w:val="28"/>
                                    <w:sz w:val="21"/>
                                    <w:szCs w:val="21"/>
                                    <w:lang w:val="en-CA"/>
                                  </w:rPr>
                                </w:pPr>
                                <w:r w:rsidRPr="00147D46">
                                  <w:rPr>
                                    <w:rFonts w:ascii="Rubik" w:eastAsia="Times New Roman" w:hAnsi="Rubik" w:cs="Rubik" w:hint="cs"/>
                                    <w:bCs/>
                                    <w:color w:val="000000"/>
                                    <w:kern w:val="28"/>
                                    <w:sz w:val="21"/>
                                    <w:szCs w:val="21"/>
                                    <w:lang w:val="en-CA"/>
                                  </w:rPr>
                                  <w:t>Articles included (n  = 29)</w:t>
                                </w:r>
                              </w:p>
                              <w:p w14:paraId="7797DC4D"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Individual studies (n =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Text Box 25"/>
                          <wps:cNvSpPr txBox="1"/>
                          <wps:spPr>
                            <a:xfrm>
                              <a:off x="2793259" y="5065510"/>
                              <a:ext cx="2772092" cy="2275050"/>
                            </a:xfrm>
                            <a:prstGeom prst="rect">
                              <a:avLst/>
                            </a:prstGeom>
                            <a:solidFill>
                              <a:sysClr val="window" lastClr="FFFFFF"/>
                            </a:solidFill>
                            <a:ln w="6350">
                              <a:solidFill>
                                <a:prstClr val="black"/>
                              </a:solidFill>
                            </a:ln>
                          </wps:spPr>
                          <wps:txbx>
                            <w:txbxContent>
                              <w:p w14:paraId="3D63F074" w14:textId="77777777" w:rsidR="008D7089" w:rsidRPr="00147D46" w:rsidRDefault="008D7089" w:rsidP="00BE4A16">
                                <w:pPr>
                                  <w:pStyle w:val="NormalWeb"/>
                                  <w:spacing w:before="0" w:beforeAutospacing="0" w:after="0" w:afterAutospacing="0" w:line="276" w:lineRule="auto"/>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Full-text articles</w:t>
                                </w:r>
                                <w:r w:rsidRPr="00147D46">
                                  <w:rPr>
                                    <w:rFonts w:ascii="Rubik" w:eastAsia="Times New Roman" w:hAnsi="Rubik" w:cs="Rubik" w:hint="cs"/>
                                    <w:color w:val="000000"/>
                                    <w:kern w:val="28"/>
                                    <w:sz w:val="21"/>
                                    <w:szCs w:val="21"/>
                                    <w:lang w:val="en-CA"/>
                                  </w:rPr>
                                  <w:t xml:space="preserve"> excluded (n = 88):</w:t>
                                </w:r>
                              </w:p>
                              <w:p w14:paraId="3E0C5953"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eastAsia="Times New Roman" w:hAnsi="Rubik" w:cs="Rubik" w:hint="cs"/>
                                    <w:color w:val="000000"/>
                                    <w:kern w:val="28"/>
                                    <w:sz w:val="21"/>
                                    <w:szCs w:val="21"/>
                                    <w:lang w:val="en-CA"/>
                                  </w:rPr>
                                  <w:t>Not correct population (n = 21)</w:t>
                                </w:r>
                              </w:p>
                              <w:p w14:paraId="7ACB8E0E"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study design (n = 19)</w:t>
                                </w:r>
                              </w:p>
                              <w:p w14:paraId="6E15A52C"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outcome (n=17)</w:t>
                                </w:r>
                              </w:p>
                              <w:p w14:paraId="4F6E6D03"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Intervention not vocational (n = 11)</w:t>
                                </w:r>
                              </w:p>
                              <w:p w14:paraId="5A58F8CF"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Medical intervention included in one condition only (n=9)</w:t>
                                </w:r>
                              </w:p>
                              <w:p w14:paraId="224E0C8B"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 passive control or active control that fits inclusion criteria (n=8)</w:t>
                                </w:r>
                              </w:p>
                              <w:p w14:paraId="27440731"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follow-up period (n=2)</w:t>
                                </w:r>
                              </w:p>
                              <w:p w14:paraId="77D49C58"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published in English (n=1)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AutoShape 17"/>
                          <wps:cNvCnPr>
                            <a:cxnSpLocks noChangeAspect="1" noEditPoints="1" noChangeArrowheads="1" noChangeShapeType="1"/>
                          </wps:cNvCnPr>
                          <wps:spPr bwMode="auto">
                            <a:xfrm>
                              <a:off x="1754813" y="3507683"/>
                              <a:ext cx="0" cy="639505"/>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28" name="AutoShape 17"/>
                          <wps:cNvCnPr>
                            <a:cxnSpLocks noChangeAspect="1" noEditPoints="1" noChangeArrowheads="1" noChangeShapeType="1"/>
                          </wps:cNvCnPr>
                          <wps:spPr bwMode="auto">
                            <a:xfrm>
                              <a:off x="1739900" y="4851400"/>
                              <a:ext cx="0" cy="38100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30" name="AutoShape 17"/>
                          <wps:cNvCnPr>
                            <a:cxnSpLocks noChangeAspect="1" noEditPoints="1" noChangeArrowheads="1" noChangeShapeType="1"/>
                          </wps:cNvCnPr>
                          <wps:spPr bwMode="auto">
                            <a:xfrm>
                              <a:off x="1739900" y="5930900"/>
                              <a:ext cx="0" cy="38100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32" name="AutoShape 21"/>
                          <wps:cNvCnPr>
                            <a:cxnSpLocks noChangeAspect="1" noEditPoints="1" noChangeArrowheads="1" noChangeShapeType="1"/>
                          </wps:cNvCnPr>
                          <wps:spPr bwMode="auto">
                            <a:xfrm>
                              <a:off x="2400300" y="5575300"/>
                              <a:ext cx="393700" cy="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s:wsp>
                          <wps:cNvPr id="33" name="Text Box 33"/>
                          <wps:cNvSpPr txBox="1"/>
                          <wps:spPr>
                            <a:xfrm>
                              <a:off x="29595" y="3030786"/>
                              <a:ext cx="3396378" cy="440233"/>
                            </a:xfrm>
                            <a:prstGeom prst="rect">
                              <a:avLst/>
                            </a:prstGeom>
                            <a:solidFill>
                              <a:sysClr val="window" lastClr="FFFFFF"/>
                            </a:solidFill>
                            <a:ln w="6350">
                              <a:solidFill>
                                <a:prstClr val="black"/>
                              </a:solidFill>
                            </a:ln>
                          </wps:spPr>
                          <wps:txbx>
                            <w:txbxContent>
                              <w:p w14:paraId="44F176D7"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Records after 51 duplicates removed in Covidence</w:t>
                                </w:r>
                              </w:p>
                              <w:p w14:paraId="7E68E347"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2213)</w:t>
                                </w:r>
                              </w:p>
                              <w:p w14:paraId="18E41E72" w14:textId="77777777" w:rsidR="008D7089" w:rsidRPr="00147D46" w:rsidRDefault="008D7089" w:rsidP="00BE4A16">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AutoShape 17"/>
                          <wps:cNvCnPr>
                            <a:cxnSpLocks noChangeAspect="1" noEditPoints="1" noChangeArrowheads="1" noChangeShapeType="1"/>
                          </wps:cNvCnPr>
                          <wps:spPr bwMode="auto">
                            <a:xfrm>
                              <a:off x="1727200" y="2637506"/>
                              <a:ext cx="0" cy="381000"/>
                            </a:xfrm>
                            <a:prstGeom prst="straightConnector1">
                              <a:avLst/>
                            </a:prstGeom>
                            <a:solidFill>
                              <a:sysClr val="window" lastClr="FFFFFF"/>
                            </a:solidFill>
                            <a:ln w="12700" cap="flat" cmpd="sng" algn="ctr">
                              <a:solidFill>
                                <a:sysClr val="windowText" lastClr="000000"/>
                              </a:solidFill>
                              <a:prstDash val="solid"/>
                              <a:miter lim="800000"/>
                              <a:headEnd/>
                              <a:tailEnd type="triangle" w="med" len="med"/>
                            </a:ln>
                            <a:effectLst/>
                          </wps:spPr>
                          <wps:bodyPr/>
                        </wps:wsp>
                      </wpg:grpSp>
                    </wpg:wgp>
                  </a:graphicData>
                </a:graphic>
              </wp:inline>
            </w:drawing>
          </mc:Choice>
          <mc:Fallback>
            <w:pict>
              <v:group w14:anchorId="41E2CDCD" id="Group 9" o:spid="_x0000_s1029" alt="This flow diagram shows that of the 4099 records identified initially, 2213 abstract and titles, and 117 full text articles were screened for eligibility. In total, 26 eligible studies were identified, described in 29 articles. " style="width:448.4pt;height:638.85pt;mso-position-horizontal-relative:char;mso-position-vertical-relative:line" coordsize="62536,7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">
                <v:roundrect id="Rounded Rectangle 10" o:spid="_x0000_s1030" style="position:absolute;left:-15704;top:17036;width:34710;height:287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" fillcolor="#f2f2f2" strokecolor="windowText" strokeweight="1pt">
                  <v:stroke joinstyle="miter"/>
                  <v:textbox>
                    <w:txbxContent>
                      <w:p w14:paraId="237F7D5E"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Identification</w:t>
                        </w:r>
                      </w:p>
                    </w:txbxContent>
                  </v:textbox>
                </v:roundrect>
                <v:roundrect id="Rounded Rectangle 11" o:spid="_x0000_s1031" style="position:absolute;left:-5665;top:42825;width:14211;height:28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" fillcolor="#f2f2f2" strokecolor="windowText" strokeweight="1pt">
                  <v:stroke joinstyle="miter"/>
                  <v:textbox>
                    <w:txbxContent>
                      <w:p w14:paraId="303488FF"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Screening</w:t>
                        </w:r>
                      </w:p>
                    </w:txbxContent>
                  </v:textbox>
                </v:roundrect>
                <v:roundrect id="Rounded Rectangle 12" o:spid="_x0000_s1032" style="position:absolute;left:-3144;top:56013;width:9449;height:287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" fillcolor="#f2f2f2" strokecolor="windowText" strokeweight="1pt">
                  <v:stroke joinstyle="miter"/>
                  <v:textbox>
                    <w:txbxContent>
                      <w:p w14:paraId="26FE1CAC"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Eligibility</w:t>
                        </w:r>
                      </w:p>
                    </w:txbxContent>
                  </v:textbox>
                </v:roundrect>
                <v:roundrect id="Rounded Rectangle 13" o:spid="_x0000_s1033" style="position:absolute;left:-2629;top:66306;width:8661;height:287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" fillcolor="#f2f2f2" strokecolor="windowText" strokeweight="1pt">
                  <v:stroke joinstyle="miter"/>
                  <v:textbox>
                    <w:txbxContent>
                      <w:p w14:paraId="4CD58312" w14:textId="77777777" w:rsidR="008D7089" w:rsidRPr="00147D46" w:rsidRDefault="008D7089" w:rsidP="00BE4A16">
                        <w:pPr>
                          <w:pStyle w:val="NormalWeb"/>
                          <w:spacing w:before="0" w:beforeAutospacing="0" w:after="0" w:afterAutospacing="0"/>
                          <w:jc w:val="center"/>
                          <w:rPr>
                            <w:rFonts w:ascii="Rubik" w:hAnsi="Rubik" w:cs="Rubik"/>
                            <w:color w:val="000000"/>
                            <w:sz w:val="21"/>
                            <w:szCs w:val="21"/>
                          </w:rPr>
                        </w:pPr>
                        <w:r w:rsidRPr="00147D46">
                          <w:rPr>
                            <w:rFonts w:ascii="Rubik" w:eastAsia="Times New Roman" w:hAnsi="Rubik" w:cs="Rubik" w:hint="cs"/>
                            <w:b/>
                            <w:bCs/>
                            <w:color w:val="000000"/>
                            <w:kern w:val="28"/>
                            <w:sz w:val="21"/>
                            <w:szCs w:val="21"/>
                            <w:lang w:val="en-CA"/>
                          </w:rPr>
                          <w:t>Included</w:t>
                        </w:r>
                      </w:p>
                    </w:txbxContent>
                  </v:textbox>
                </v:roundrect>
                <v:group id="Group 15" o:spid="_x0000_s1034" style="position:absolute;left:6883;width:55653;height:73405" coordsize="55653,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Text Box 17" o:spid="_x0000_s1035" type="#_x0000_t202" style="position:absolute;width:38539;height:17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" fillcolor="window" strokeweight=".5pt">
                    <v:textbox>
                      <w:txbxContent>
                        <w:p w14:paraId="707C9690"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identified through database searching (n = 4099): </w:t>
                          </w:r>
                        </w:p>
                        <w:p w14:paraId="76A90CF8"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Medline (n = 608)</w:t>
                          </w:r>
                        </w:p>
                        <w:p w14:paraId="4E636D45"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Embase (n = 1057)</w:t>
                          </w:r>
                        </w:p>
                        <w:p w14:paraId="5763CE8D"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PsycINFO (n = 633)</w:t>
                          </w:r>
                        </w:p>
                        <w:p w14:paraId="2AF7D2F0"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CINAHL (n = 927)</w:t>
                          </w:r>
                        </w:p>
                        <w:p w14:paraId="00640141"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ERIC (n = 29)</w:t>
                          </w:r>
                        </w:p>
                        <w:p w14:paraId="1790D9B5"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pt-BR"/>
                            </w:rPr>
                          </w:pPr>
                          <w:r w:rsidRPr="00147D46">
                            <w:rPr>
                              <w:rFonts w:ascii="Rubik" w:eastAsia="Times New Roman" w:hAnsi="Rubik" w:cs="Rubik" w:hint="cs"/>
                              <w:color w:val="000000"/>
                              <w:kern w:val="28"/>
                              <w:sz w:val="21"/>
                              <w:szCs w:val="21"/>
                              <w:lang w:val="pt-BR"/>
                            </w:rPr>
                            <w:t>ERC (n = 59)</w:t>
                          </w:r>
                        </w:p>
                        <w:p w14:paraId="2AFCA5FC"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color w:val="000000"/>
                              <w:kern w:val="28"/>
                              <w:sz w:val="21"/>
                              <w:szCs w:val="21"/>
                              <w:lang w:val="en-CA"/>
                            </w:rPr>
                            <w:t>Web of Science (n = 459)</w:t>
                          </w:r>
                        </w:p>
                        <w:p w14:paraId="3978835A"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color w:val="000000"/>
                              <w:kern w:val="28"/>
                              <w:sz w:val="21"/>
                              <w:szCs w:val="21"/>
                              <w:lang w:val="en-CA"/>
                            </w:rPr>
                            <w:t>Scopus (n = 327)</w:t>
                          </w:r>
                        </w:p>
                      </w:txbxContent>
                    </v:textbox>
                  </v:shape>
                  <v:shape id="Text Box 18" o:spid="_x0000_s1036" type="#_x0000_t202" style="position:absolute;left:5680;top:41798;width:18145;height:6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" fillcolor="window" strokeweight=".5pt">
                    <v:textbox>
                      <w:txbxContent>
                        <w:p w14:paraId="3378BF2C"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screened </w:t>
                          </w:r>
                        </w:p>
                        <w:p w14:paraId="3A4AD426"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2213)</w:t>
                          </w:r>
                        </w:p>
                        <w:p w14:paraId="63B9957C" w14:textId="77777777" w:rsidR="008D7089" w:rsidRPr="00147D46" w:rsidRDefault="008D7089" w:rsidP="00BE4A16">
                          <w:pPr>
                            <w:spacing w:line="276" w:lineRule="auto"/>
                            <w:jc w:val="center"/>
                            <w:rPr>
                              <w:rFonts w:ascii="Rubik" w:hAnsi="Rubik" w:cs="Rubik"/>
                              <w:sz w:val="21"/>
                              <w:szCs w:val="21"/>
                            </w:rPr>
                          </w:pPr>
                        </w:p>
                      </w:txbxContent>
                    </v:textbox>
                  </v:shape>
                  <v:shapetype id="_x0000_t32" coordsize="21600,21600" o:spt="32" o:oned="t" path="m,l21600,21600e" filled="f">
                    <v:path arrowok="t" fillok="f" o:connecttype="none"/>
                    <o:lock v:ext="edit" shapetype="t"/>
                  </v:shapetype>
                  <v:shape id="AutoShape 17" o:spid="_x0000_s1037" type="#_x0000_t32" style="position:absolute;left:17133;top:1784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" filled="t" fillcolor="window" strokecolor="windowText" strokeweight="1pt">
                    <v:stroke endarrow="block" joinstyle="miter"/>
                    <v:path arrowok="f"/>
                    <o:lock v:ext="edit" aspectratio="t" verticies="t"/>
                  </v:shape>
                  <v:shape id="Text Box 20" o:spid="_x0000_s1038" type="#_x0000_t202" style="position:absolute;left:19;top:21779;width:3382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" fillcolor="window" strokeweight=".5pt">
                    <v:textbox>
                      <w:txbxContent>
                        <w:p w14:paraId="202269E6" w14:textId="2A45A745"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ecords after 1835 duplicates removed in Zotero     (n = 2264)</w:t>
                          </w:r>
                        </w:p>
                        <w:p w14:paraId="634561A3" w14:textId="77777777" w:rsidR="008D7089" w:rsidRPr="00147D46" w:rsidRDefault="008D7089" w:rsidP="00BE4A16">
                          <w:pPr>
                            <w:spacing w:line="276" w:lineRule="auto"/>
                            <w:jc w:val="center"/>
                            <w:rPr>
                              <w:rFonts w:ascii="Rubik" w:hAnsi="Rubik" w:cs="Rubik"/>
                              <w:sz w:val="21"/>
                              <w:szCs w:val="21"/>
                            </w:rPr>
                          </w:pPr>
                        </w:p>
                      </w:txbxContent>
                    </v:textbox>
                  </v:shape>
                  <v:shape id="Text Box 21" o:spid="_x0000_s1039" type="#_x0000_t202" style="position:absolute;left:27940;top:42715;width:24130;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" fillcolor="window" strokeweight=".5pt">
                    <v:textbox>
                      <w:txbxContent>
                        <w:p w14:paraId="0BF17F77"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w:t>
                          </w:r>
                          <w:r w:rsidRPr="00147D46">
                            <w:rPr>
                              <w:rFonts w:ascii="Rubik" w:eastAsia="Times New Roman" w:hAnsi="Rubik" w:cs="Rubik" w:hint="cs"/>
                              <w:color w:val="000000"/>
                              <w:kern w:val="28"/>
                              <w:sz w:val="21"/>
                              <w:szCs w:val="21"/>
                              <w:lang w:val="en-CA"/>
                            </w:rPr>
                            <w:t xml:space="preserve">ecords excluded </w:t>
                          </w:r>
                        </w:p>
                        <w:p w14:paraId="4AB3AB68"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2096)</w:t>
                          </w:r>
                        </w:p>
                        <w:p w14:paraId="69C390F1" w14:textId="77777777" w:rsidR="008D7089" w:rsidRPr="00147D46" w:rsidRDefault="008D7089" w:rsidP="00BE4A16">
                          <w:pPr>
                            <w:spacing w:line="276" w:lineRule="auto"/>
                            <w:jc w:val="center"/>
                            <w:rPr>
                              <w:rFonts w:ascii="Rubik" w:hAnsi="Rubik" w:cs="Rubik"/>
                              <w:sz w:val="21"/>
                              <w:szCs w:val="21"/>
                            </w:rPr>
                          </w:pPr>
                        </w:p>
                      </w:txbxContent>
                    </v:textbox>
                  </v:shape>
                  <v:shape id="AutoShape 21" o:spid="_x0000_s1040" type="#_x0000_t32" style="position:absolute;left:24003;top:46228;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" filled="t" fillcolor="window" strokecolor="windowText" strokeweight="1pt">
                    <v:stroke endarrow="block" joinstyle="miter"/>
                    <v:path arrowok="f"/>
                    <o:lock v:ext="edit" aspectratio="t" verticies="t"/>
                  </v:shape>
                  <v:shape id="Text Box 23" o:spid="_x0000_s1041" type="#_x0000_t202" style="position:absolute;left:5956;top:52451;width:17869;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8wwAAANsAAAAPAAAAZHJzL2Rvd25yZXYueG1sRI9Ba8JA&#10;FITvQv/D8gredFML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gT5/MMAAADbAAAADwAA&#10;AAAAAAAAAAAAAAAHAgAAZHJzL2Rvd25yZXYueG1sUEsFBgAAAAADAAMAtwAAAPcCAAAAAA==&#10;" fillcolor="window" strokeweight=".5pt">
                    <v:textbox>
                      <w:txbxContent>
                        <w:p w14:paraId="1ED2BD54"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Full-text articles assessed for eligibility (n = 117)</w:t>
                          </w:r>
                        </w:p>
                      </w:txbxContent>
                    </v:textbox>
                  </v:shape>
                  <v:shape id="Text Box 24" o:spid="_x0000_s1042" type="#_x0000_t202" style="position:absolute;left:5818;top:63243;width:17948;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WGIwwAAANsAAAAPAAAAZHJzL2Rvd25yZXYueG1sRI9Ba8JA&#10;FITvQv/D8gredFMp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ce1hiMMAAADbAAAADwAA&#10;AAAAAAAAAAAAAAAHAgAAZHJzL2Rvd25yZXYueG1sUEsFBgAAAAADAAMAtwAAAPcCAAAAAA==&#10;" fillcolor="window" strokeweight=".5pt">
                    <v:textbox>
                      <w:txbxContent>
                        <w:p w14:paraId="0037CBF3"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bCs/>
                              <w:color w:val="000000"/>
                              <w:kern w:val="28"/>
                              <w:sz w:val="21"/>
                              <w:szCs w:val="21"/>
                              <w:lang w:val="en-CA"/>
                            </w:rPr>
                          </w:pPr>
                          <w:r w:rsidRPr="00147D46">
                            <w:rPr>
                              <w:rFonts w:ascii="Rubik" w:eastAsia="Times New Roman" w:hAnsi="Rubik" w:cs="Rubik" w:hint="cs"/>
                              <w:bCs/>
                              <w:color w:val="000000"/>
                              <w:kern w:val="28"/>
                              <w:sz w:val="21"/>
                              <w:szCs w:val="21"/>
                              <w:lang w:val="en-CA"/>
                            </w:rPr>
                            <w:t>Articles included (</w:t>
                          </w:r>
                          <w:proofErr w:type="gramStart"/>
                          <w:r w:rsidRPr="00147D46">
                            <w:rPr>
                              <w:rFonts w:ascii="Rubik" w:eastAsia="Times New Roman" w:hAnsi="Rubik" w:cs="Rubik" w:hint="cs"/>
                              <w:bCs/>
                              <w:color w:val="000000"/>
                              <w:kern w:val="28"/>
                              <w:sz w:val="21"/>
                              <w:szCs w:val="21"/>
                              <w:lang w:val="en-CA"/>
                            </w:rPr>
                            <w:t>n  =</w:t>
                          </w:r>
                          <w:proofErr w:type="gramEnd"/>
                          <w:r w:rsidRPr="00147D46">
                            <w:rPr>
                              <w:rFonts w:ascii="Rubik" w:eastAsia="Times New Roman" w:hAnsi="Rubik" w:cs="Rubik" w:hint="cs"/>
                              <w:bCs/>
                              <w:color w:val="000000"/>
                              <w:kern w:val="28"/>
                              <w:sz w:val="21"/>
                              <w:szCs w:val="21"/>
                              <w:lang w:val="en-CA"/>
                            </w:rPr>
                            <w:t xml:space="preserve"> 29)</w:t>
                          </w:r>
                        </w:p>
                        <w:p w14:paraId="7797DC4D"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Individual studies (n = 26)</w:t>
                          </w:r>
                        </w:p>
                      </w:txbxContent>
                    </v:textbox>
                  </v:shape>
                  <v:shape id="Text Box 25" o:spid="_x0000_s1043" type="#_x0000_t202" style="position:absolute;left:27932;top:50655;width:27721;height:2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" fillcolor="window" strokeweight=".5pt">
                    <v:textbox>
                      <w:txbxContent>
                        <w:p w14:paraId="3D63F074" w14:textId="77777777" w:rsidR="008D7089" w:rsidRPr="00147D46" w:rsidRDefault="008D7089" w:rsidP="00BE4A16">
                          <w:pPr>
                            <w:pStyle w:val="NormalWeb"/>
                            <w:spacing w:before="0" w:beforeAutospacing="0" w:after="0" w:afterAutospacing="0" w:line="276" w:lineRule="auto"/>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Full-text articles</w:t>
                          </w:r>
                          <w:r w:rsidRPr="00147D46">
                            <w:rPr>
                              <w:rFonts w:ascii="Rubik" w:eastAsia="Times New Roman" w:hAnsi="Rubik" w:cs="Rubik" w:hint="cs"/>
                              <w:color w:val="000000"/>
                              <w:kern w:val="28"/>
                              <w:sz w:val="21"/>
                              <w:szCs w:val="21"/>
                              <w:lang w:val="en-CA"/>
                            </w:rPr>
                            <w:t xml:space="preserve"> excluded (n = 88):</w:t>
                          </w:r>
                        </w:p>
                        <w:p w14:paraId="3E0C5953"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eastAsia="Times New Roman" w:hAnsi="Rubik" w:cs="Rubik" w:hint="cs"/>
                              <w:color w:val="000000"/>
                              <w:kern w:val="28"/>
                              <w:sz w:val="21"/>
                              <w:szCs w:val="21"/>
                              <w:lang w:val="en-CA"/>
                            </w:rPr>
                            <w:t>Not correct population (n = 21)</w:t>
                          </w:r>
                        </w:p>
                        <w:p w14:paraId="7ACB8E0E"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study design (n = 19)</w:t>
                          </w:r>
                        </w:p>
                        <w:p w14:paraId="6E15A52C"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outcome (n=17)</w:t>
                          </w:r>
                        </w:p>
                        <w:p w14:paraId="4F6E6D03"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Intervention not vocational (n = 11)</w:t>
                          </w:r>
                        </w:p>
                        <w:p w14:paraId="5A58F8CF"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Medical intervention included in one condition only (n=9)</w:t>
                          </w:r>
                        </w:p>
                        <w:p w14:paraId="224E0C8B"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 passive control or active control that fits inclusion criteria (n=8)</w:t>
                          </w:r>
                        </w:p>
                        <w:p w14:paraId="27440731"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correct follow-up period (n=2)</w:t>
                          </w:r>
                        </w:p>
                        <w:p w14:paraId="77D49C58" w14:textId="77777777" w:rsidR="008D7089" w:rsidRPr="00147D46" w:rsidRDefault="008D7089" w:rsidP="00BE4A16">
                          <w:pPr>
                            <w:pStyle w:val="NormalWeb"/>
                            <w:numPr>
                              <w:ilvl w:val="0"/>
                              <w:numId w:val="42"/>
                            </w:numPr>
                            <w:spacing w:before="0" w:beforeAutospacing="0" w:after="0" w:afterAutospacing="0" w:line="276" w:lineRule="auto"/>
                            <w:rPr>
                              <w:rFonts w:ascii="Rubik" w:hAnsi="Rubik" w:cs="Rubik"/>
                              <w:color w:val="000000"/>
                              <w:sz w:val="21"/>
                              <w:szCs w:val="21"/>
                            </w:rPr>
                          </w:pPr>
                          <w:r w:rsidRPr="00147D46">
                            <w:rPr>
                              <w:rFonts w:ascii="Rubik" w:hAnsi="Rubik" w:cs="Rubik" w:hint="cs"/>
                              <w:color w:val="000000"/>
                              <w:sz w:val="21"/>
                              <w:szCs w:val="21"/>
                            </w:rPr>
                            <w:t>Not published in English (n=1)</w:t>
                          </w:r>
                        </w:p>
                      </w:txbxContent>
                    </v:textbox>
                  </v:shape>
                  <v:shape id="AutoShape 17" o:spid="_x0000_s1044" type="#_x0000_t32" style="position:absolute;left:17548;top:35076;width:0;height:63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" filled="t" fillcolor="window" strokecolor="windowText" strokeweight="1pt">
                    <v:stroke endarrow="block" joinstyle="miter"/>
                    <v:path arrowok="f"/>
                    <o:lock v:ext="edit" aspectratio="t" verticies="t"/>
                  </v:shape>
                  <v:shape id="AutoShape 17" o:spid="_x0000_s1045" type="#_x0000_t32" style="position:absolute;left:17399;top:48514;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" filled="t" fillcolor="window" strokecolor="windowText" strokeweight="1pt">
                    <v:stroke endarrow="block" joinstyle="miter"/>
                    <v:path arrowok="f"/>
                    <o:lock v:ext="edit" aspectratio="t" verticies="t"/>
                  </v:shape>
                  <v:shape id="AutoShape 17" o:spid="_x0000_s1046" type="#_x0000_t32" style="position:absolute;left:17399;top:59309;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" filled="t" fillcolor="window" strokecolor="windowText" strokeweight="1pt">
                    <v:stroke endarrow="block" joinstyle="miter"/>
                    <v:path arrowok="f"/>
                    <o:lock v:ext="edit" aspectratio="t" verticies="t"/>
                  </v:shape>
                  <v:shape id="AutoShape 21" o:spid="_x0000_s1047" type="#_x0000_t32" style="position:absolute;left:24003;top:55753;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" filled="t" fillcolor="window" strokecolor="windowText" strokeweight="1pt">
                    <v:stroke endarrow="block" joinstyle="miter"/>
                    <v:path arrowok="f"/>
                    <o:lock v:ext="edit" aspectratio="t" verticies="t"/>
                  </v:shape>
                  <v:shape id="Text Box 33" o:spid="_x0000_s1048" type="#_x0000_t202" style="position:absolute;left:295;top:30307;width:33964;height:4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" fillcolor="window" strokeweight=".5pt">
                    <v:textbox>
                      <w:txbxContent>
                        <w:p w14:paraId="44F176D7" w14:textId="77777777" w:rsidR="008D7089" w:rsidRPr="00147D46" w:rsidRDefault="008D7089" w:rsidP="00BE4A16">
                          <w:pPr>
                            <w:pStyle w:val="NormalWeb"/>
                            <w:spacing w:before="0" w:beforeAutospacing="0" w:after="0" w:afterAutospacing="0" w:line="276" w:lineRule="auto"/>
                            <w:jc w:val="center"/>
                            <w:rPr>
                              <w:rFonts w:ascii="Rubik" w:eastAsia="Times New Roman" w:hAnsi="Rubik" w:cs="Rubik"/>
                              <w:color w:val="000000"/>
                              <w:kern w:val="28"/>
                              <w:sz w:val="21"/>
                              <w:szCs w:val="21"/>
                              <w:lang w:val="en-CA"/>
                            </w:rPr>
                          </w:pPr>
                          <w:r w:rsidRPr="00147D46">
                            <w:rPr>
                              <w:rFonts w:ascii="Rubik" w:eastAsia="Times New Roman" w:hAnsi="Rubik" w:cs="Rubik" w:hint="cs"/>
                              <w:bCs/>
                              <w:color w:val="000000"/>
                              <w:kern w:val="28"/>
                              <w:sz w:val="21"/>
                              <w:szCs w:val="21"/>
                              <w:lang w:val="en-CA"/>
                            </w:rPr>
                            <w:t>Records after 51 duplicates removed in Covidence</w:t>
                          </w:r>
                        </w:p>
                        <w:p w14:paraId="7E68E347" w14:textId="77777777" w:rsidR="008D7089" w:rsidRPr="00147D46" w:rsidRDefault="008D7089" w:rsidP="00BE4A16">
                          <w:pPr>
                            <w:pStyle w:val="NormalWeb"/>
                            <w:spacing w:before="0" w:beforeAutospacing="0" w:after="0" w:afterAutospacing="0" w:line="276" w:lineRule="auto"/>
                            <w:jc w:val="center"/>
                            <w:rPr>
                              <w:rFonts w:ascii="Rubik" w:hAnsi="Rubik" w:cs="Rubik"/>
                              <w:color w:val="000000"/>
                              <w:sz w:val="21"/>
                              <w:szCs w:val="21"/>
                            </w:rPr>
                          </w:pPr>
                          <w:r w:rsidRPr="00147D46">
                            <w:rPr>
                              <w:rFonts w:ascii="Rubik" w:eastAsia="Times New Roman" w:hAnsi="Rubik" w:cs="Rubik" w:hint="cs"/>
                              <w:color w:val="000000"/>
                              <w:kern w:val="28"/>
                              <w:sz w:val="21"/>
                              <w:szCs w:val="21"/>
                              <w:lang w:val="en-CA"/>
                            </w:rPr>
                            <w:t>(n = 2213)</w:t>
                          </w:r>
                        </w:p>
                        <w:p w14:paraId="18E41E72" w14:textId="77777777" w:rsidR="008D7089" w:rsidRPr="00147D46" w:rsidRDefault="008D7089" w:rsidP="00BE4A16">
                          <w:pPr>
                            <w:spacing w:line="276" w:lineRule="auto"/>
                            <w:jc w:val="center"/>
                            <w:rPr>
                              <w:rFonts w:ascii="Rubik" w:hAnsi="Rubik" w:cs="Rubik"/>
                              <w:sz w:val="21"/>
                              <w:szCs w:val="21"/>
                            </w:rPr>
                          </w:pPr>
                        </w:p>
                      </w:txbxContent>
                    </v:textbox>
                  </v:shape>
                  <v:shape id="AutoShape 17" o:spid="_x0000_s1049" type="#_x0000_t32" style="position:absolute;left:17272;top:26375;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" filled="t" fillcolor="window" strokecolor="windowText" strokeweight="1pt">
                    <v:stroke endarrow="block" joinstyle="miter"/>
                    <v:path arrowok="f"/>
                    <o:lock v:ext="edit" aspectratio="t" verticies="t"/>
                  </v:shape>
                </v:group>
                <w10:anchorlock/>
              </v:group>
            </w:pict>
          </mc:Fallback>
        </mc:AlternateContent>
      </w:r>
    </w:p>
    <w:p w14:paraId="37B49654" w14:textId="0715E63E" w:rsidR="00BD1825" w:rsidRPr="00584BCB" w:rsidRDefault="002E61E0" w:rsidP="002E61E0">
      <w:pPr>
        <w:pStyle w:val="Caption"/>
        <w:rPr>
          <w:rFonts w:ascii="Rubik" w:hAnsi="Rubik" w:cs="Rubik"/>
          <w:color w:val="000000" w:themeColor="text1"/>
          <w:sz w:val="22"/>
        </w:rPr>
      </w:pPr>
      <w:r w:rsidRPr="00584BCB">
        <w:rPr>
          <w:rFonts w:ascii="Rubik" w:hAnsi="Rubik" w:cs="Rubik" w:hint="cs"/>
          <w:color w:val="000000" w:themeColor="text1"/>
        </w:rPr>
        <w:t xml:space="preserve">Figure </w:t>
      </w:r>
      <w:r w:rsidRPr="00584BCB">
        <w:rPr>
          <w:rFonts w:ascii="Rubik" w:hAnsi="Rubik" w:cs="Rubik" w:hint="cs"/>
          <w:color w:val="000000" w:themeColor="text1"/>
        </w:rPr>
        <w:fldChar w:fldCharType="begin"/>
      </w:r>
      <w:r w:rsidRPr="00584BCB">
        <w:rPr>
          <w:rFonts w:ascii="Rubik" w:hAnsi="Rubik" w:cs="Rubik" w:hint="cs"/>
          <w:color w:val="000000" w:themeColor="text1"/>
        </w:rPr>
        <w:instrText>SEQ Figure \* ARABIC</w:instrText>
      </w:r>
      <w:r w:rsidRPr="00584BCB">
        <w:rPr>
          <w:rFonts w:ascii="Rubik" w:hAnsi="Rubik" w:cs="Rubik" w:hint="cs"/>
          <w:color w:val="000000" w:themeColor="text1"/>
        </w:rPr>
        <w:fldChar w:fldCharType="separate"/>
      </w:r>
      <w:r w:rsidR="008D7089" w:rsidRPr="00584BCB">
        <w:rPr>
          <w:rFonts w:ascii="Rubik" w:hAnsi="Rubik" w:cs="Rubik"/>
          <w:noProof/>
          <w:color w:val="000000" w:themeColor="text1"/>
        </w:rPr>
        <w:t>1</w:t>
      </w:r>
      <w:r w:rsidRPr="00584BCB">
        <w:rPr>
          <w:rFonts w:ascii="Rubik" w:hAnsi="Rubik" w:cs="Rubik" w:hint="cs"/>
          <w:color w:val="000000" w:themeColor="text1"/>
        </w:rPr>
        <w:fldChar w:fldCharType="end"/>
      </w:r>
      <w:r w:rsidRPr="00584BCB">
        <w:rPr>
          <w:rFonts w:ascii="Rubik" w:hAnsi="Rubik" w:cs="Rubik" w:hint="cs"/>
          <w:color w:val="000000" w:themeColor="text1"/>
        </w:rPr>
        <w:t xml:space="preserve"> PRISMA flow diagram for randomised controlled trials</w:t>
      </w:r>
    </w:p>
    <w:p w14:paraId="3EADC1F3" w14:textId="77777777" w:rsidR="00A24486" w:rsidRPr="00584BCB" w:rsidRDefault="003D2B35" w:rsidP="00A24486">
      <w:pPr>
        <w:keepNext/>
        <w:rPr>
          <w:color w:val="000000" w:themeColor="text1"/>
        </w:rPr>
      </w:pPr>
      <w:r w:rsidRPr="00584BCB">
        <w:rPr>
          <w:noProof/>
          <w:color w:val="000000" w:themeColor="text1"/>
          <w:lang w:eastAsia="en-AU"/>
        </w:rPr>
        <w:lastRenderedPageBreak/>
        <mc:AlternateContent>
          <mc:Choice Requires="wpg">
            <w:drawing>
              <wp:inline distT="0" distB="0" distL="0" distR="0" wp14:anchorId="2B092A9D" wp14:editId="617FBFDD">
                <wp:extent cx="5778231" cy="7868275"/>
                <wp:effectExtent l="0" t="0" r="13335" b="19050"/>
                <wp:docPr id="37" name="Group 37" descr="This flow diagram shows that of the 1516 records identified initially, 688 abstract and titles, and 8 full text articles were screened for eligibility. In total, 2 eligible studies were identified. "/>
                <wp:cNvGraphicFramePr/>
                <a:graphic xmlns:a="http://schemas.openxmlformats.org/drawingml/2006/main">
                  <a:graphicData uri="http://schemas.microsoft.com/office/word/2010/wordprocessingGroup">
                    <wpg:wgp>
                      <wpg:cNvGrpSpPr/>
                      <wpg:grpSpPr>
                        <a:xfrm>
                          <a:off x="0" y="0"/>
                          <a:ext cx="5778231" cy="7868275"/>
                          <a:chOff x="8" y="-13337"/>
                          <a:chExt cx="6059220" cy="8262305"/>
                        </a:xfrm>
                      </wpg:grpSpPr>
                      <wps:wsp>
                        <wps:cNvPr id="38" name="Rounded Rectangle 38"/>
                        <wps:cNvSpPr/>
                        <wps:spPr>
                          <a:xfrm rot="16200000">
                            <a:off x="-2193762" y="2180433"/>
                            <a:ext cx="4707165" cy="319626"/>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046FE1D8"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Identification</w:t>
                              </w:r>
                            </w:p>
                          </w:txbxContent>
                        </wps:txbx>
                        <wps:bodyPr wrap="square" rtlCol="0" anchor="ctr" anchorCtr="0">
                          <a:noAutofit/>
                        </wps:bodyPr>
                      </wps:wsp>
                      <wps:wsp>
                        <wps:cNvPr id="39" name="Rounded Rectangle 39"/>
                        <wps:cNvSpPr/>
                        <wps:spPr>
                          <a:xfrm rot="16200000">
                            <a:off x="-560215" y="5349240"/>
                            <a:ext cx="1421130" cy="288290"/>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1E5E735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Screening</w:t>
                              </w:r>
                            </w:p>
                          </w:txbxContent>
                        </wps:txbx>
                        <wps:bodyPr wrap="square" rtlCol="0" anchor="ctr" anchorCtr="0">
                          <a:noAutofit/>
                        </wps:bodyPr>
                      </wps:wsp>
                      <wps:wsp>
                        <wps:cNvPr id="40" name="Rounded Rectangle 40"/>
                        <wps:cNvSpPr/>
                        <wps:spPr>
                          <a:xfrm rot="16200000">
                            <a:off x="-320820" y="6642735"/>
                            <a:ext cx="944880" cy="287655"/>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33848A2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Eligibility</w:t>
                              </w:r>
                            </w:p>
                          </w:txbxContent>
                        </wps:txbx>
                        <wps:bodyPr wrap="square" rtlCol="0" anchor="ctr" anchorCtr="0">
                          <a:noAutofit/>
                        </wps:bodyPr>
                      </wps:wsp>
                      <wps:wsp>
                        <wps:cNvPr id="41" name="Rounded Rectangle 41"/>
                        <wps:cNvSpPr/>
                        <wps:spPr>
                          <a:xfrm rot="16200000">
                            <a:off x="-269385" y="7672070"/>
                            <a:ext cx="866140" cy="287655"/>
                          </a:xfrm>
                          <a:prstGeom prst="roundRect">
                            <a:avLst/>
                          </a:prstGeom>
                          <a:solidFill>
                            <a:schemeClr val="bg1">
                              <a:lumMod val="95000"/>
                            </a:schemeClr>
                          </a:solidFill>
                          <a:ln/>
                        </wps:spPr>
                        <wps:style>
                          <a:lnRef idx="2">
                            <a:schemeClr val="dk1"/>
                          </a:lnRef>
                          <a:fillRef idx="1">
                            <a:schemeClr val="lt1"/>
                          </a:fillRef>
                          <a:effectRef idx="0">
                            <a:schemeClr val="dk1"/>
                          </a:effectRef>
                          <a:fontRef idx="minor">
                            <a:schemeClr val="dk1"/>
                          </a:fontRef>
                        </wps:style>
                        <wps:txbx>
                          <w:txbxContent>
                            <w:p w14:paraId="068494A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Included</w:t>
                              </w:r>
                            </w:p>
                          </w:txbxContent>
                        </wps:txbx>
                        <wps:bodyPr wrap="square" rtlCol="0" anchor="ctr" anchorCtr="0">
                          <a:noAutofit/>
                        </wps:bodyPr>
                      </wps:wsp>
                      <wpg:grpSp>
                        <wpg:cNvPr id="42" name="Group 42"/>
                        <wpg:cNvGrpSpPr/>
                        <wpg:grpSpPr>
                          <a:xfrm>
                            <a:off x="620006" y="0"/>
                            <a:ext cx="5439222" cy="7896999"/>
                            <a:chOff x="-36439" y="0"/>
                            <a:chExt cx="5439222" cy="7896999"/>
                          </a:xfrm>
                        </wpg:grpSpPr>
                        <wps:wsp>
                          <wps:cNvPr id="43" name="Text Box 43"/>
                          <wps:cNvSpPr txBox="1"/>
                          <wps:spPr>
                            <a:xfrm>
                              <a:off x="0" y="0"/>
                              <a:ext cx="4031347" cy="1969135"/>
                            </a:xfrm>
                            <a:prstGeom prst="rect">
                              <a:avLst/>
                            </a:prstGeom>
                            <a:solidFill>
                              <a:schemeClr val="lt1"/>
                            </a:solidFill>
                            <a:ln w="6350">
                              <a:solidFill>
                                <a:prstClr val="black"/>
                              </a:solidFill>
                            </a:ln>
                          </wps:spPr>
                          <wps:txbx>
                            <w:txbxContent>
                              <w:p w14:paraId="09BA0D9E"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identified through database searching (n = 1516): </w:t>
                                </w:r>
                              </w:p>
                              <w:p w14:paraId="41A91288"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Medline (n = 177)</w:t>
                                </w:r>
                              </w:p>
                              <w:p w14:paraId="0E38C4B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Embase (n = 520)</w:t>
                                </w:r>
                              </w:p>
                              <w:p w14:paraId="32DFB477"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PsycINFO (n = 101)</w:t>
                                </w:r>
                              </w:p>
                              <w:p w14:paraId="4B1B091B"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CINAHL (n = 171)</w:t>
                                </w:r>
                              </w:p>
                              <w:p w14:paraId="67391C6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ERIC (n = 119)</w:t>
                                </w:r>
                              </w:p>
                              <w:p w14:paraId="1503CC8D"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ERC (n = 128)</w:t>
                                </w:r>
                              </w:p>
                              <w:p w14:paraId="4DCAFFFC"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color w:val="000000" w:themeColor="text1"/>
                                    <w:kern w:val="28"/>
                                    <w:sz w:val="21"/>
                                    <w:szCs w:val="21"/>
                                    <w:lang w:val="en-CA"/>
                                  </w:rPr>
                                  <w:t>Web of Science (n = 187)</w:t>
                                </w:r>
                              </w:p>
                              <w:p w14:paraId="7FCB3A50"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color w:val="000000" w:themeColor="text1"/>
                                    <w:kern w:val="28"/>
                                    <w:sz w:val="21"/>
                                    <w:szCs w:val="21"/>
                                    <w:lang w:val="en-CA"/>
                                  </w:rPr>
                                  <w:t>Scopus (n = 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515511" y="5422468"/>
                              <a:ext cx="1930166" cy="507365"/>
                            </a:xfrm>
                            <a:prstGeom prst="rect">
                              <a:avLst/>
                            </a:prstGeom>
                            <a:solidFill>
                              <a:schemeClr val="lt1"/>
                            </a:solidFill>
                            <a:ln w="6350">
                              <a:solidFill>
                                <a:prstClr val="black"/>
                              </a:solidFill>
                            </a:ln>
                          </wps:spPr>
                          <wps:txbx>
                            <w:txbxContent>
                              <w:p w14:paraId="4F88B08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screened </w:t>
                                </w:r>
                              </w:p>
                              <w:p w14:paraId="49E954FB"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688)</w:t>
                                </w:r>
                              </w:p>
                              <w:p w14:paraId="176DF987" w14:textId="77777777" w:rsidR="008D7089" w:rsidRPr="00147D46" w:rsidRDefault="008D7089" w:rsidP="003D2B35">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AutoShape 17"/>
                          <wps:cNvCnPr>
                            <a:cxnSpLocks noChangeAspect="1" noEditPoints="1" noChangeArrowheads="1" noChangeShapeType="1"/>
                          </wps:cNvCnPr>
                          <wps:spPr bwMode="auto">
                            <a:xfrm>
                              <a:off x="1727200" y="1955800"/>
                              <a:ext cx="0" cy="38100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46" name="Text Box 46"/>
                          <wps:cNvSpPr txBox="1"/>
                          <wps:spPr>
                            <a:xfrm>
                              <a:off x="-32732" y="2349500"/>
                              <a:ext cx="3118530" cy="507365"/>
                            </a:xfrm>
                            <a:prstGeom prst="rect">
                              <a:avLst/>
                            </a:prstGeom>
                            <a:solidFill>
                              <a:schemeClr val="lt1"/>
                            </a:solidFill>
                            <a:ln w="6350">
                              <a:solidFill>
                                <a:prstClr val="black"/>
                              </a:solidFill>
                            </a:ln>
                          </wps:spPr>
                          <wps:txbx>
                            <w:txbxContent>
                              <w:p w14:paraId="377BCCC6"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ecords after 617 duplicates removed in Zotero (n = 899)</w:t>
                                </w:r>
                              </w:p>
                              <w:p w14:paraId="236B8EBD" w14:textId="77777777" w:rsidR="008D7089" w:rsidRPr="00147D46" w:rsidRDefault="008D7089" w:rsidP="003D2B35">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2857500" y="5422900"/>
                              <a:ext cx="2413000" cy="507365"/>
                            </a:xfrm>
                            <a:prstGeom prst="rect">
                              <a:avLst/>
                            </a:prstGeom>
                            <a:solidFill>
                              <a:schemeClr val="lt1"/>
                            </a:solidFill>
                            <a:ln w="6350">
                              <a:solidFill>
                                <a:prstClr val="black"/>
                              </a:solidFill>
                            </a:ln>
                          </wps:spPr>
                          <wps:txbx>
                            <w:txbxContent>
                              <w:p w14:paraId="3CE2F152"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excluded </w:t>
                                </w:r>
                              </w:p>
                              <w:p w14:paraId="6950B905"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680)</w:t>
                                </w:r>
                              </w:p>
                              <w:p w14:paraId="58D6D3AD" w14:textId="77777777" w:rsidR="008D7089" w:rsidRPr="00147D46" w:rsidRDefault="008D7089" w:rsidP="003D2B35">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AutoShape 21"/>
                          <wps:cNvCnPr>
                            <a:cxnSpLocks noChangeAspect="1" noEditPoints="1" noChangeArrowheads="1" noChangeShapeType="1"/>
                          </wps:cNvCnPr>
                          <wps:spPr bwMode="auto">
                            <a:xfrm>
                              <a:off x="2463800" y="5664200"/>
                              <a:ext cx="393700" cy="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49" name="Text Box 49"/>
                          <wps:cNvSpPr txBox="1"/>
                          <wps:spPr>
                            <a:xfrm>
                              <a:off x="515512" y="6335786"/>
                              <a:ext cx="1929691" cy="505073"/>
                            </a:xfrm>
                            <a:prstGeom prst="rect">
                              <a:avLst/>
                            </a:prstGeom>
                            <a:solidFill>
                              <a:schemeClr val="lt1"/>
                            </a:solidFill>
                            <a:ln w="6350">
                              <a:solidFill>
                                <a:prstClr val="black"/>
                              </a:solidFill>
                            </a:ln>
                          </wps:spPr>
                          <wps:txbx>
                            <w:txbxContent>
                              <w:p w14:paraId="00D48D75" w14:textId="77777777" w:rsidR="008D7089" w:rsidRPr="00147D46" w:rsidRDefault="008D7089" w:rsidP="003D2B35">
                                <w:pPr>
                                  <w:pStyle w:val="NormalWeb"/>
                                  <w:spacing w:before="0" w:beforeAutospacing="0" w:after="0" w:afterAutospacing="0" w:line="276" w:lineRule="auto"/>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Full-text articles assessed for eligibility (n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542146" y="7402334"/>
                              <a:ext cx="2055552" cy="494665"/>
                            </a:xfrm>
                            <a:prstGeom prst="rect">
                              <a:avLst/>
                            </a:prstGeom>
                            <a:solidFill>
                              <a:schemeClr val="lt1"/>
                            </a:solidFill>
                            <a:ln w="6350">
                              <a:solidFill>
                                <a:prstClr val="black"/>
                              </a:solidFill>
                            </a:ln>
                          </wps:spPr>
                          <wps:txbx>
                            <w:txbxContent>
                              <w:p w14:paraId="39F0FB94"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Articles included (n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2869551" y="6107727"/>
                              <a:ext cx="2533232" cy="1772874"/>
                            </a:xfrm>
                            <a:prstGeom prst="rect">
                              <a:avLst/>
                            </a:prstGeom>
                            <a:solidFill>
                              <a:schemeClr val="lt1"/>
                            </a:solidFill>
                            <a:ln w="6350">
                              <a:solidFill>
                                <a:prstClr val="black"/>
                              </a:solidFill>
                            </a:ln>
                          </wps:spPr>
                          <wps:txbx>
                            <w:txbxContent>
                              <w:p w14:paraId="5626AD15" w14:textId="77777777" w:rsidR="008D7089" w:rsidRPr="00147D46" w:rsidRDefault="008D7089" w:rsidP="003D2B35">
                                <w:pPr>
                                  <w:pStyle w:val="NormalWeb"/>
                                  <w:spacing w:before="0" w:beforeAutospacing="0" w:after="0" w:afterAutospacing="0" w:line="276" w:lineRule="auto"/>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Full-text articles</w:t>
                                </w:r>
                                <w:r w:rsidRPr="00147D46">
                                  <w:rPr>
                                    <w:rFonts w:ascii="Rubik" w:eastAsia="Times New Roman" w:hAnsi="Rubik" w:cs="Rubik" w:hint="cs"/>
                                    <w:color w:val="000000" w:themeColor="text1"/>
                                    <w:kern w:val="28"/>
                                    <w:sz w:val="21"/>
                                    <w:szCs w:val="21"/>
                                    <w:lang w:val="en-CA"/>
                                  </w:rPr>
                                  <w:t xml:space="preserve"> excluded (n = 6):</w:t>
                                </w:r>
                              </w:p>
                              <w:p w14:paraId="24CAEE59"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Not right population (n = 2)</w:t>
                                </w:r>
                              </w:p>
                              <w:p w14:paraId="18269F81"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Arms not matched on disability type, sex and age (n = 1)</w:t>
                                </w:r>
                              </w:p>
                              <w:p w14:paraId="1CC1E32B"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Intervention not vocational (n = 1)</w:t>
                                </w:r>
                              </w:p>
                              <w:p w14:paraId="5534B127"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Not correct study design (n = 1)</w:t>
                                </w:r>
                              </w:p>
                              <w:p w14:paraId="617CF869"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No comparison group (n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AutoShape 17"/>
                          <wps:cNvCnPr>
                            <a:cxnSpLocks noChangeAspect="1" noEditPoints="1" noChangeArrowheads="1" noChangeShapeType="1"/>
                          </wps:cNvCnPr>
                          <wps:spPr bwMode="auto">
                            <a:xfrm>
                              <a:off x="1790700" y="4747614"/>
                              <a:ext cx="0" cy="662586"/>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53" name="AutoShape 17"/>
                          <wps:cNvCnPr>
                            <a:cxnSpLocks noChangeAspect="1" noEditPoints="1" noChangeArrowheads="1" noChangeShapeType="1"/>
                          </wps:cNvCnPr>
                          <wps:spPr bwMode="auto">
                            <a:xfrm>
                              <a:off x="1790700" y="5943600"/>
                              <a:ext cx="0" cy="38100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54" name="AutoShape 17"/>
                          <wps:cNvCnPr>
                            <a:cxnSpLocks noChangeAspect="1" noEditPoints="1" noChangeArrowheads="1" noChangeShapeType="1"/>
                          </wps:cNvCnPr>
                          <wps:spPr bwMode="auto">
                            <a:xfrm>
                              <a:off x="1803128" y="6881372"/>
                              <a:ext cx="0" cy="522139"/>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55" name="AutoShape 21"/>
                          <wps:cNvCnPr>
                            <a:cxnSpLocks noChangeAspect="1" noEditPoints="1" noChangeArrowheads="1" noChangeShapeType="1"/>
                          </wps:cNvCnPr>
                          <wps:spPr bwMode="auto">
                            <a:xfrm>
                              <a:off x="2476500" y="6654800"/>
                              <a:ext cx="393700" cy="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56" name="Text Box 56"/>
                          <wps:cNvSpPr txBox="1"/>
                          <wps:spPr>
                            <a:xfrm>
                              <a:off x="-35204" y="3237864"/>
                              <a:ext cx="3094365" cy="522887"/>
                            </a:xfrm>
                            <a:prstGeom prst="rect">
                              <a:avLst/>
                            </a:prstGeom>
                            <a:solidFill>
                              <a:schemeClr val="lt1"/>
                            </a:solidFill>
                            <a:ln w="6350">
                              <a:solidFill>
                                <a:prstClr val="black"/>
                              </a:solidFill>
                            </a:ln>
                          </wps:spPr>
                          <wps:txbx>
                            <w:txbxContent>
                              <w:p w14:paraId="0D86D912"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Records after 202 overlapping studies removed</w:t>
                                </w:r>
                              </w:p>
                              <w:p w14:paraId="094234CD"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697)</w:t>
                                </w:r>
                              </w:p>
                              <w:p w14:paraId="4BF044DC" w14:textId="77777777" w:rsidR="008D7089" w:rsidRPr="00147D46" w:rsidRDefault="008D7089" w:rsidP="003D2B35">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 Box 57"/>
                          <wps:cNvSpPr txBox="1"/>
                          <wps:spPr>
                            <a:xfrm>
                              <a:off x="-36439" y="4183671"/>
                              <a:ext cx="3122235" cy="483928"/>
                            </a:xfrm>
                            <a:prstGeom prst="rect">
                              <a:avLst/>
                            </a:prstGeom>
                            <a:solidFill>
                              <a:schemeClr val="lt1"/>
                            </a:solidFill>
                            <a:ln w="6350">
                              <a:solidFill>
                                <a:prstClr val="black"/>
                              </a:solidFill>
                            </a:ln>
                          </wps:spPr>
                          <wps:txbx>
                            <w:txbxContent>
                              <w:p w14:paraId="052181DA"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Records after 9 duplicates removed in Covidence</w:t>
                                </w:r>
                              </w:p>
                              <w:p w14:paraId="717F4556"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688)</w:t>
                                </w:r>
                              </w:p>
                              <w:p w14:paraId="3A93D679" w14:textId="77777777" w:rsidR="008D7089" w:rsidRPr="00147D46" w:rsidRDefault="008D7089" w:rsidP="003D2B35">
                                <w:pPr>
                                  <w:spacing w:line="276" w:lineRule="auto"/>
                                  <w:jc w:val="center"/>
                                  <w:rPr>
                                    <w:rFonts w:ascii="Rubik" w:hAnsi="Rubik" w:cs="Rubik"/>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AutoShape 17"/>
                          <wps:cNvCnPr>
                            <a:cxnSpLocks noChangeAspect="1" noEditPoints="1" noChangeArrowheads="1" noChangeShapeType="1"/>
                          </wps:cNvCnPr>
                          <wps:spPr bwMode="auto">
                            <a:xfrm>
                              <a:off x="1752600" y="2857500"/>
                              <a:ext cx="0" cy="38100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s:wsp>
                          <wps:cNvPr id="59" name="AutoShape 17"/>
                          <wps:cNvCnPr>
                            <a:cxnSpLocks noChangeAspect="1" noEditPoints="1" noChangeArrowheads="1" noChangeShapeType="1"/>
                          </wps:cNvCnPr>
                          <wps:spPr bwMode="auto">
                            <a:xfrm>
                              <a:off x="1751365" y="3816340"/>
                              <a:ext cx="0" cy="381000"/>
                            </a:xfrm>
                            <a:prstGeom prst="straightConnector1">
                              <a:avLst/>
                            </a:prstGeom>
                            <a:ln>
                              <a:headEnd/>
                              <a:tailEnd type="triangle" w="med" len="med"/>
                            </a:ln>
                          </wps:spPr>
                          <wps:style>
                            <a:lnRef idx="2">
                              <a:schemeClr val="dk1"/>
                            </a:lnRef>
                            <a:fillRef idx="1">
                              <a:schemeClr val="lt1"/>
                            </a:fillRef>
                            <a:effectRef idx="0">
                              <a:schemeClr val="dk1"/>
                            </a:effectRef>
                            <a:fontRef idx="minor">
                              <a:schemeClr val="dk1"/>
                            </a:fontRef>
                          </wps:style>
                          <wps:bodyPr/>
                        </wps:wsp>
                      </wpg:grpSp>
                    </wpg:wgp>
                  </a:graphicData>
                </a:graphic>
              </wp:inline>
            </w:drawing>
          </mc:Choice>
          <mc:Fallback>
            <w:pict>
              <v:group w14:anchorId="2B092A9D" id="Group 37" o:spid="_x0000_s1050" alt="This flow diagram shows that of the 1516 records identified initially, 688 abstract and titles, and 8 full text articles were screened for eligibility. In total, 2 eligible studies were identified. " style="width:455pt;height:619.55pt;mso-position-horizontal-relative:char;mso-position-vertical-relative:line" coordorigin=",-133" coordsize="60592,82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">
                <v:roundrect id="Rounded Rectangle 38" o:spid="_x0000_s1051" style="position:absolute;left:-21938;top:21805;width:47071;height:319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" fillcolor="#f2f2f2 [3052]" strokecolor="black [3200]" strokeweight="1pt">
                  <v:stroke joinstyle="miter"/>
                  <v:textbox>
                    <w:txbxContent>
                      <w:p w14:paraId="046FE1D8"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Identification</w:t>
                        </w:r>
                      </w:p>
                    </w:txbxContent>
                  </v:textbox>
                </v:roundrect>
                <v:roundrect id="Rounded Rectangle 39" o:spid="_x0000_s1052" style="position:absolute;left:-5603;top:53493;width:14211;height:2882;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" fillcolor="#f2f2f2 [3052]" strokecolor="black [3200]" strokeweight="1pt">
                  <v:stroke joinstyle="miter"/>
                  <v:textbox>
                    <w:txbxContent>
                      <w:p w14:paraId="1E5E735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Screening</w:t>
                        </w:r>
                      </w:p>
                    </w:txbxContent>
                  </v:textbox>
                </v:roundrect>
                <v:roundrect id="Rounded Rectangle 40" o:spid="_x0000_s1053" style="position:absolute;left:-3209;top:66427;width:9449;height:287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" fillcolor="#f2f2f2 [3052]" strokecolor="black [3200]" strokeweight="1pt">
                  <v:stroke joinstyle="miter"/>
                  <v:textbox>
                    <w:txbxContent>
                      <w:p w14:paraId="33848A2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Eligibility</w:t>
                        </w:r>
                      </w:p>
                    </w:txbxContent>
                  </v:textbox>
                </v:roundrect>
                <v:roundrect id="Rounded Rectangle 41" o:spid="_x0000_s1054" style="position:absolute;left:-2694;top:76720;width:8661;height:2877;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" fillcolor="#f2f2f2 [3052]" strokecolor="black [3200]" strokeweight="1pt">
                  <v:stroke joinstyle="miter"/>
                  <v:textbox>
                    <w:txbxContent>
                      <w:p w14:paraId="068494A9" w14:textId="77777777" w:rsidR="008D7089" w:rsidRPr="00147D46" w:rsidRDefault="008D7089" w:rsidP="003D2B35">
                        <w:pPr>
                          <w:pStyle w:val="NormalWeb"/>
                          <w:spacing w:before="0" w:beforeAutospacing="0" w:after="0" w:afterAutospacing="0"/>
                          <w:jc w:val="center"/>
                          <w:rPr>
                            <w:rFonts w:ascii="Rubik" w:hAnsi="Rubik" w:cs="Rubik"/>
                            <w:color w:val="000000" w:themeColor="text1"/>
                            <w:sz w:val="21"/>
                            <w:szCs w:val="21"/>
                          </w:rPr>
                        </w:pPr>
                        <w:r w:rsidRPr="00147D46">
                          <w:rPr>
                            <w:rFonts w:ascii="Rubik" w:eastAsia="Times New Roman" w:hAnsi="Rubik" w:cs="Rubik" w:hint="cs"/>
                            <w:b/>
                            <w:bCs/>
                            <w:color w:val="000000" w:themeColor="text1"/>
                            <w:kern w:val="28"/>
                            <w:sz w:val="21"/>
                            <w:szCs w:val="21"/>
                            <w:lang w:val="en-CA"/>
                          </w:rPr>
                          <w:t>Included</w:t>
                        </w:r>
                      </w:p>
                    </w:txbxContent>
                  </v:textbox>
                </v:roundrect>
                <v:group id="Group 42" o:spid="_x0000_s1055" style="position:absolute;left:6200;width:54392;height:78969" coordorigin="-364" coordsize="54392,78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43" o:spid="_x0000_s1056" type="#_x0000_t202" style="position:absolute;width:40313;height:196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" fillcolor="white [3201]" strokeweight=".5pt">
                    <v:textbox>
                      <w:txbxContent>
                        <w:p w14:paraId="09BA0D9E"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identified through database searching (n = 1516): </w:t>
                          </w:r>
                        </w:p>
                        <w:p w14:paraId="41A91288"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Medline (n = 177)</w:t>
                          </w:r>
                        </w:p>
                        <w:p w14:paraId="0E38C4B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Embase (n = 520)</w:t>
                          </w:r>
                        </w:p>
                        <w:p w14:paraId="32DFB477"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PsycINFO (n = 101)</w:t>
                          </w:r>
                        </w:p>
                        <w:p w14:paraId="4B1B091B"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CINAHL (n = 171)</w:t>
                          </w:r>
                        </w:p>
                        <w:p w14:paraId="67391C6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ERIC (n = 119)</w:t>
                          </w:r>
                        </w:p>
                        <w:p w14:paraId="1503CC8D"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pt-BR"/>
                            </w:rPr>
                          </w:pPr>
                          <w:r w:rsidRPr="00147D46">
                            <w:rPr>
                              <w:rFonts w:ascii="Rubik" w:eastAsia="Times New Roman" w:hAnsi="Rubik" w:cs="Rubik" w:hint="cs"/>
                              <w:color w:val="000000" w:themeColor="text1"/>
                              <w:kern w:val="28"/>
                              <w:sz w:val="21"/>
                              <w:szCs w:val="21"/>
                              <w:lang w:val="pt-BR"/>
                            </w:rPr>
                            <w:t>ERC (n = 128)</w:t>
                          </w:r>
                        </w:p>
                        <w:p w14:paraId="4DCAFFFC"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color w:val="000000" w:themeColor="text1"/>
                              <w:kern w:val="28"/>
                              <w:sz w:val="21"/>
                              <w:szCs w:val="21"/>
                              <w:lang w:val="en-CA"/>
                            </w:rPr>
                            <w:t>Web of Science (n = 187)</w:t>
                          </w:r>
                        </w:p>
                        <w:p w14:paraId="7FCB3A50"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color w:val="000000" w:themeColor="text1"/>
                              <w:kern w:val="28"/>
                              <w:sz w:val="21"/>
                              <w:szCs w:val="21"/>
                              <w:lang w:val="en-CA"/>
                            </w:rPr>
                            <w:t>Scopus (n = 113)</w:t>
                          </w:r>
                        </w:p>
                      </w:txbxContent>
                    </v:textbox>
                  </v:shape>
                  <v:shape id="Text Box 44" o:spid="_x0000_s1057" type="#_x0000_t202" style="position:absolute;left:5155;top:54224;width:19301;height:5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" fillcolor="white [3201]" strokeweight=".5pt">
                    <v:textbox>
                      <w:txbxContent>
                        <w:p w14:paraId="4F88B089"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screened </w:t>
                          </w:r>
                        </w:p>
                        <w:p w14:paraId="49E954FB"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688)</w:t>
                          </w:r>
                        </w:p>
                        <w:p w14:paraId="176DF987" w14:textId="77777777" w:rsidR="008D7089" w:rsidRPr="00147D46" w:rsidRDefault="008D7089" w:rsidP="003D2B35">
                          <w:pPr>
                            <w:spacing w:line="276" w:lineRule="auto"/>
                            <w:jc w:val="center"/>
                            <w:rPr>
                              <w:rFonts w:ascii="Rubik" w:hAnsi="Rubik" w:cs="Rubik"/>
                              <w:sz w:val="21"/>
                              <w:szCs w:val="21"/>
                            </w:rPr>
                          </w:pPr>
                        </w:p>
                      </w:txbxContent>
                    </v:textbox>
                  </v:shape>
                  <v:shape id="AutoShape 17" o:spid="_x0000_s1058" type="#_x0000_t32" style="position:absolute;left:17272;top:19558;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" filled="t" fillcolor="white [3201]" strokecolor="black [3200]" strokeweight="1pt">
                    <v:stroke endarrow="block" joinstyle="miter"/>
                    <v:path arrowok="f"/>
                    <o:lock v:ext="edit" aspectratio="t" verticies="t"/>
                  </v:shape>
                  <v:shape id="Text Box 46" o:spid="_x0000_s1059" type="#_x0000_t202" style="position:absolute;left:-327;top:23495;width:31184;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mQwgAAANsAAAAPAAAAZHJzL2Rvd25yZXYueG1sRI9BawIx&#10;FITvhf6H8Aq91WyLyL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CUQXmQwgAAANsAAAAPAAAA&#10;AAAAAAAAAAAAAAcCAABkcnMvZG93bnJldi54bWxQSwUGAAAAAAMAAwC3AAAA9gIAAAAA&#10;" fillcolor="white [3201]" strokeweight=".5pt">
                    <v:textbox>
                      <w:txbxContent>
                        <w:p w14:paraId="377BCCC6"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ecords after 617 duplicates removed in Zotero (n = 899)</w:t>
                          </w:r>
                        </w:p>
                        <w:p w14:paraId="236B8EBD" w14:textId="77777777" w:rsidR="008D7089" w:rsidRPr="00147D46" w:rsidRDefault="008D7089" w:rsidP="003D2B35">
                          <w:pPr>
                            <w:spacing w:line="276" w:lineRule="auto"/>
                            <w:jc w:val="center"/>
                            <w:rPr>
                              <w:rFonts w:ascii="Rubik" w:hAnsi="Rubik" w:cs="Rubik"/>
                              <w:sz w:val="21"/>
                              <w:szCs w:val="21"/>
                            </w:rPr>
                          </w:pPr>
                        </w:p>
                      </w:txbxContent>
                    </v:textbox>
                  </v:shape>
                  <v:shape id="Text Box 47" o:spid="_x0000_s1060" type="#_x0000_t202" style="position:absolute;left:28575;top:54229;width:24130;height:5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wLwgAAANsAAAAPAAAAZHJzL2Rvd25yZXYueG1sRI9BSwMx&#10;FITvgv8hPMGbzSql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D7DdwLwgAAANsAAAAPAAAA&#10;AAAAAAAAAAAAAAcCAABkcnMvZG93bnJldi54bWxQSwUGAAAAAAMAAwC3AAAA9gIAAAAA&#10;" fillcolor="white [3201]" strokeweight=".5pt">
                    <v:textbox>
                      <w:txbxContent>
                        <w:p w14:paraId="3CE2F152"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w:t>
                          </w:r>
                          <w:r w:rsidRPr="00147D46">
                            <w:rPr>
                              <w:rFonts w:ascii="Rubik" w:eastAsia="Times New Roman" w:hAnsi="Rubik" w:cs="Rubik" w:hint="cs"/>
                              <w:color w:val="000000" w:themeColor="text1"/>
                              <w:kern w:val="28"/>
                              <w:sz w:val="21"/>
                              <w:szCs w:val="21"/>
                              <w:lang w:val="en-CA"/>
                            </w:rPr>
                            <w:t xml:space="preserve">ecords excluded </w:t>
                          </w:r>
                        </w:p>
                        <w:p w14:paraId="6950B905"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680)</w:t>
                          </w:r>
                        </w:p>
                        <w:p w14:paraId="58D6D3AD" w14:textId="77777777" w:rsidR="008D7089" w:rsidRPr="00147D46" w:rsidRDefault="008D7089" w:rsidP="003D2B35">
                          <w:pPr>
                            <w:spacing w:line="276" w:lineRule="auto"/>
                            <w:jc w:val="center"/>
                            <w:rPr>
                              <w:rFonts w:ascii="Rubik" w:hAnsi="Rubik" w:cs="Rubik"/>
                              <w:sz w:val="21"/>
                              <w:szCs w:val="21"/>
                            </w:rPr>
                          </w:pPr>
                        </w:p>
                      </w:txbxContent>
                    </v:textbox>
                  </v:shape>
                  <v:shape id="AutoShape 21" o:spid="_x0000_s1061" type="#_x0000_t32" style="position:absolute;left:24638;top:56642;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mDTwAAAANsAAAAPAAAAZHJzL2Rvd25yZXYueG1sRE/Pa8Iw&#10;FL4P/B/CE3abacsQ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cF5g08AAAADbAAAADwAAAAAA&#10;AAAAAAAAAAAHAgAAZHJzL2Rvd25yZXYueG1sUEsFBgAAAAADAAMAtwAAAPQCAAAAAA==&#10;" filled="t" fillcolor="white [3201]" strokecolor="black [3200]" strokeweight="1pt">
                    <v:stroke endarrow="block" joinstyle="miter"/>
                    <v:path arrowok="f"/>
                    <o:lock v:ext="edit" aspectratio="t" verticies="t"/>
                  </v:shape>
                  <v:shape id="Text Box 49" o:spid="_x0000_s1062" type="#_x0000_t202" style="position:absolute;left:5155;top:63357;width:19297;height:5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" fillcolor="white [3201]" strokeweight=".5pt">
                    <v:textbox>
                      <w:txbxContent>
                        <w:p w14:paraId="00D48D75" w14:textId="77777777" w:rsidR="008D7089" w:rsidRPr="00147D46" w:rsidRDefault="008D7089" w:rsidP="003D2B35">
                          <w:pPr>
                            <w:pStyle w:val="NormalWeb"/>
                            <w:spacing w:before="0" w:beforeAutospacing="0" w:after="0" w:afterAutospacing="0" w:line="276" w:lineRule="auto"/>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Full-text articles assessed for eligibility (n = 8)</w:t>
                          </w:r>
                        </w:p>
                      </w:txbxContent>
                    </v:textbox>
                  </v:shape>
                  <v:shape id="Text Box 50" o:spid="_x0000_s1063" type="#_x0000_t202" style="position:absolute;left:5421;top:74023;width:20555;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dKivwAAANsAAAAPAAAAZHJzL2Rvd25yZXYueG1sRE9NawIx&#10;EL0X+h/CFHqrWQuW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DxPdKivwAAANsAAAAPAAAAAAAA&#10;AAAAAAAAAAcCAABkcnMvZG93bnJldi54bWxQSwUGAAAAAAMAAwC3AAAA8wIAAAAA&#10;" fillcolor="white [3201]" strokeweight=".5pt">
                    <v:textbox>
                      <w:txbxContent>
                        <w:p w14:paraId="39F0FB94"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Articles included (</w:t>
                          </w:r>
                          <w:proofErr w:type="gramStart"/>
                          <w:r w:rsidRPr="00147D46">
                            <w:rPr>
                              <w:rFonts w:ascii="Rubik" w:eastAsia="Times New Roman" w:hAnsi="Rubik" w:cs="Rubik" w:hint="cs"/>
                              <w:bCs/>
                              <w:color w:val="000000" w:themeColor="text1"/>
                              <w:kern w:val="28"/>
                              <w:sz w:val="21"/>
                              <w:szCs w:val="21"/>
                              <w:lang w:val="en-CA"/>
                            </w:rPr>
                            <w:t>n  =</w:t>
                          </w:r>
                          <w:proofErr w:type="gramEnd"/>
                          <w:r w:rsidRPr="00147D46">
                            <w:rPr>
                              <w:rFonts w:ascii="Rubik" w:eastAsia="Times New Roman" w:hAnsi="Rubik" w:cs="Rubik" w:hint="cs"/>
                              <w:bCs/>
                              <w:color w:val="000000" w:themeColor="text1"/>
                              <w:kern w:val="28"/>
                              <w:sz w:val="21"/>
                              <w:szCs w:val="21"/>
                              <w:lang w:val="en-CA"/>
                            </w:rPr>
                            <w:t xml:space="preserve"> 2)</w:t>
                          </w:r>
                        </w:p>
                      </w:txbxContent>
                    </v:textbox>
                  </v:shape>
                  <v:shape id="Text Box 51" o:spid="_x0000_s1064" type="#_x0000_t202" style="position:absolute;left:28695;top:61077;width:25332;height:17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" fillcolor="white [3201]" strokeweight=".5pt">
                    <v:textbox>
                      <w:txbxContent>
                        <w:p w14:paraId="5626AD15" w14:textId="77777777" w:rsidR="008D7089" w:rsidRPr="00147D46" w:rsidRDefault="008D7089" w:rsidP="003D2B35">
                          <w:pPr>
                            <w:pStyle w:val="NormalWeb"/>
                            <w:spacing w:before="0" w:beforeAutospacing="0" w:after="0" w:afterAutospacing="0" w:line="276" w:lineRule="auto"/>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Full-text articles</w:t>
                          </w:r>
                          <w:r w:rsidRPr="00147D46">
                            <w:rPr>
                              <w:rFonts w:ascii="Rubik" w:eastAsia="Times New Roman" w:hAnsi="Rubik" w:cs="Rubik" w:hint="cs"/>
                              <w:color w:val="000000" w:themeColor="text1"/>
                              <w:kern w:val="28"/>
                              <w:sz w:val="21"/>
                              <w:szCs w:val="21"/>
                              <w:lang w:val="en-CA"/>
                            </w:rPr>
                            <w:t xml:space="preserve"> excluded (n = 6):</w:t>
                          </w:r>
                        </w:p>
                        <w:p w14:paraId="24CAEE59"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Not right population (n = 2)</w:t>
                          </w:r>
                        </w:p>
                        <w:p w14:paraId="18269F81"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Arms not matched on disability type, sex and age (n = 1)</w:t>
                          </w:r>
                        </w:p>
                        <w:p w14:paraId="1CC1E32B"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Intervention not vocational (n = 1)</w:t>
                          </w:r>
                        </w:p>
                        <w:p w14:paraId="5534B127"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Not correct study design (n = 1)</w:t>
                          </w:r>
                        </w:p>
                        <w:p w14:paraId="617CF869" w14:textId="77777777" w:rsidR="008D7089" w:rsidRPr="00147D46" w:rsidRDefault="008D7089" w:rsidP="003D2B35">
                          <w:pPr>
                            <w:pStyle w:val="NormalWeb"/>
                            <w:numPr>
                              <w:ilvl w:val="0"/>
                              <w:numId w:val="42"/>
                            </w:numPr>
                            <w:spacing w:before="0" w:beforeAutospacing="0" w:after="0" w:afterAutospacing="0" w:line="276" w:lineRule="auto"/>
                            <w:rPr>
                              <w:rFonts w:ascii="Rubik" w:hAnsi="Rubik" w:cs="Rubik"/>
                              <w:color w:val="000000" w:themeColor="text1"/>
                              <w:sz w:val="21"/>
                              <w:szCs w:val="21"/>
                            </w:rPr>
                          </w:pPr>
                          <w:r w:rsidRPr="00147D46">
                            <w:rPr>
                              <w:rFonts w:ascii="Rubik" w:hAnsi="Rubik" w:cs="Rubik" w:hint="cs"/>
                              <w:color w:val="000000" w:themeColor="text1"/>
                              <w:sz w:val="21"/>
                              <w:szCs w:val="21"/>
                            </w:rPr>
                            <w:t>No comparison group (n = 1)</w:t>
                          </w:r>
                        </w:p>
                      </w:txbxContent>
                    </v:textbox>
                  </v:shape>
                  <v:shape id="AutoShape 17" o:spid="_x0000_s1065" type="#_x0000_t32" style="position:absolute;left:17907;top:47476;width:0;height:6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" filled="t" fillcolor="white [3201]" strokecolor="black [3200]" strokeweight="1pt">
                    <v:stroke endarrow="block" joinstyle="miter"/>
                    <v:path arrowok="f"/>
                    <o:lock v:ext="edit" aspectratio="t" verticies="t"/>
                  </v:shape>
                  <v:shape id="AutoShape 17" o:spid="_x0000_s1066" type="#_x0000_t32" style="position:absolute;left:17907;top:59436;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" filled="t" fillcolor="white [3201]" strokecolor="black [3200]" strokeweight="1pt">
                    <v:stroke endarrow="block" joinstyle="miter"/>
                    <v:path arrowok="f"/>
                    <o:lock v:ext="edit" aspectratio="t" verticies="t"/>
                  </v:shape>
                  <v:shape id="AutoShape 17" o:spid="_x0000_s1067" type="#_x0000_t32" style="position:absolute;left:18031;top:68813;width:0;height:522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" filled="t" fillcolor="white [3201]" strokecolor="black [3200]" strokeweight="1pt">
                    <v:stroke endarrow="block" joinstyle="miter"/>
                    <v:path arrowok="f"/>
                    <o:lock v:ext="edit" aspectratio="t" verticies="t"/>
                  </v:shape>
                  <v:shape id="AutoShape 21" o:spid="_x0000_s1068" type="#_x0000_t32" style="position:absolute;left:24765;top:66548;width:39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" filled="t" fillcolor="white [3201]" strokecolor="black [3200]" strokeweight="1pt">
                    <v:stroke endarrow="block" joinstyle="miter"/>
                    <v:path arrowok="f"/>
                    <o:lock v:ext="edit" aspectratio="t" verticies="t"/>
                  </v:shape>
                  <v:shape id="Text Box 56" o:spid="_x0000_s1069" type="#_x0000_t202" style="position:absolute;left:-352;top:32378;width:30943;height:5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" fillcolor="white [3201]" strokeweight=".5pt">
                    <v:textbox>
                      <w:txbxContent>
                        <w:p w14:paraId="0D86D912"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Records after 202 overlapping studies removed</w:t>
                          </w:r>
                        </w:p>
                        <w:p w14:paraId="094234CD"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697)</w:t>
                          </w:r>
                        </w:p>
                        <w:p w14:paraId="4BF044DC" w14:textId="77777777" w:rsidR="008D7089" w:rsidRPr="00147D46" w:rsidRDefault="008D7089" w:rsidP="003D2B35">
                          <w:pPr>
                            <w:spacing w:line="276" w:lineRule="auto"/>
                            <w:jc w:val="center"/>
                            <w:rPr>
                              <w:rFonts w:ascii="Rubik" w:hAnsi="Rubik" w:cs="Rubik"/>
                              <w:sz w:val="21"/>
                              <w:szCs w:val="21"/>
                            </w:rPr>
                          </w:pPr>
                        </w:p>
                      </w:txbxContent>
                    </v:textbox>
                  </v:shape>
                  <v:shape id="Text Box 57" o:spid="_x0000_s1070" type="#_x0000_t202" style="position:absolute;left:-364;top:41836;width:31221;height:4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" fillcolor="white [3201]" strokeweight=".5pt">
                    <v:textbox>
                      <w:txbxContent>
                        <w:p w14:paraId="052181DA" w14:textId="77777777" w:rsidR="008D7089" w:rsidRPr="00147D46" w:rsidRDefault="008D7089" w:rsidP="003D2B35">
                          <w:pPr>
                            <w:pStyle w:val="NormalWeb"/>
                            <w:spacing w:before="0" w:beforeAutospacing="0" w:after="0" w:afterAutospacing="0" w:line="276" w:lineRule="auto"/>
                            <w:jc w:val="center"/>
                            <w:rPr>
                              <w:rFonts w:ascii="Rubik" w:eastAsia="Times New Roman" w:hAnsi="Rubik" w:cs="Rubik"/>
                              <w:color w:val="000000" w:themeColor="text1"/>
                              <w:kern w:val="28"/>
                              <w:sz w:val="21"/>
                              <w:szCs w:val="21"/>
                              <w:lang w:val="en-CA"/>
                            </w:rPr>
                          </w:pPr>
                          <w:r w:rsidRPr="00147D46">
                            <w:rPr>
                              <w:rFonts w:ascii="Rubik" w:eastAsia="Times New Roman" w:hAnsi="Rubik" w:cs="Rubik" w:hint="cs"/>
                              <w:bCs/>
                              <w:color w:val="000000" w:themeColor="text1"/>
                              <w:kern w:val="28"/>
                              <w:sz w:val="21"/>
                              <w:szCs w:val="21"/>
                              <w:lang w:val="en-CA"/>
                            </w:rPr>
                            <w:t>Records after 9 duplicates removed in Covidence</w:t>
                          </w:r>
                        </w:p>
                        <w:p w14:paraId="717F4556" w14:textId="77777777" w:rsidR="008D7089" w:rsidRPr="00147D46" w:rsidRDefault="008D7089" w:rsidP="003D2B35">
                          <w:pPr>
                            <w:pStyle w:val="NormalWeb"/>
                            <w:spacing w:before="0" w:beforeAutospacing="0" w:after="0" w:afterAutospacing="0" w:line="276" w:lineRule="auto"/>
                            <w:jc w:val="center"/>
                            <w:rPr>
                              <w:rFonts w:ascii="Rubik" w:hAnsi="Rubik" w:cs="Rubik"/>
                              <w:color w:val="000000" w:themeColor="text1"/>
                              <w:sz w:val="21"/>
                              <w:szCs w:val="21"/>
                            </w:rPr>
                          </w:pPr>
                          <w:r w:rsidRPr="00147D46">
                            <w:rPr>
                              <w:rFonts w:ascii="Rubik" w:eastAsia="Times New Roman" w:hAnsi="Rubik" w:cs="Rubik" w:hint="cs"/>
                              <w:color w:val="000000" w:themeColor="text1"/>
                              <w:kern w:val="28"/>
                              <w:sz w:val="21"/>
                              <w:szCs w:val="21"/>
                              <w:lang w:val="en-CA"/>
                            </w:rPr>
                            <w:t>(n = 688)</w:t>
                          </w:r>
                        </w:p>
                        <w:p w14:paraId="3A93D679" w14:textId="77777777" w:rsidR="008D7089" w:rsidRPr="00147D46" w:rsidRDefault="008D7089" w:rsidP="003D2B35">
                          <w:pPr>
                            <w:spacing w:line="276" w:lineRule="auto"/>
                            <w:jc w:val="center"/>
                            <w:rPr>
                              <w:rFonts w:ascii="Rubik" w:hAnsi="Rubik" w:cs="Rubik"/>
                              <w:sz w:val="21"/>
                              <w:szCs w:val="21"/>
                            </w:rPr>
                          </w:pPr>
                        </w:p>
                      </w:txbxContent>
                    </v:textbox>
                  </v:shape>
                  <v:shape id="AutoShape 17" o:spid="_x0000_s1071" type="#_x0000_t32" style="position:absolute;left:17526;top:28575;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" filled="t" fillcolor="white [3201]" strokecolor="black [3200]" strokeweight="1pt">
                    <v:stroke endarrow="block" joinstyle="miter"/>
                    <v:path arrowok="f"/>
                    <o:lock v:ext="edit" aspectratio="t" verticies="t"/>
                  </v:shape>
                  <v:shape id="AutoShape 17" o:spid="_x0000_s1072" type="#_x0000_t32" style="position:absolute;left:17513;top:38163;width:0;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" filled="t" fillcolor="white [3201]" strokecolor="black [3200]" strokeweight="1pt">
                    <v:stroke endarrow="block" joinstyle="miter"/>
                    <v:path arrowok="f"/>
                    <o:lock v:ext="edit" aspectratio="t" verticies="t"/>
                  </v:shape>
                </v:group>
                <w10:anchorlock/>
              </v:group>
            </w:pict>
          </mc:Fallback>
        </mc:AlternateContent>
      </w:r>
    </w:p>
    <w:p w14:paraId="2AF661F1" w14:textId="32B61F03" w:rsidR="00A24486" w:rsidRPr="00584BCB" w:rsidRDefault="00147D46" w:rsidP="00A24486">
      <w:pPr>
        <w:pStyle w:val="Caption"/>
        <w:rPr>
          <w:rFonts w:ascii="Rubik" w:hAnsi="Rubik" w:cs="Rubik"/>
          <w:color w:val="000000" w:themeColor="text1"/>
        </w:rPr>
      </w:pPr>
      <w:r w:rsidRPr="00584BCB">
        <w:rPr>
          <w:rFonts w:ascii="Rubik" w:hAnsi="Rubik" w:cs="Rubik"/>
          <w:color w:val="000000" w:themeColor="text1"/>
        </w:rPr>
        <w:br/>
      </w:r>
      <w:r w:rsidR="00A24486" w:rsidRPr="00584BCB">
        <w:rPr>
          <w:rFonts w:ascii="Rubik" w:hAnsi="Rubik" w:cs="Rubik" w:hint="cs"/>
          <w:color w:val="000000" w:themeColor="text1"/>
        </w:rPr>
        <w:t xml:space="preserve">Figure </w:t>
      </w:r>
      <w:r w:rsidR="00A24486" w:rsidRPr="00584BCB">
        <w:rPr>
          <w:rFonts w:ascii="Rubik" w:hAnsi="Rubik" w:cs="Rubik" w:hint="cs"/>
          <w:color w:val="000000" w:themeColor="text1"/>
        </w:rPr>
        <w:fldChar w:fldCharType="begin"/>
      </w:r>
      <w:r w:rsidR="00A24486" w:rsidRPr="00584BCB">
        <w:rPr>
          <w:rFonts w:ascii="Rubik" w:hAnsi="Rubik" w:cs="Rubik" w:hint="cs"/>
          <w:color w:val="000000" w:themeColor="text1"/>
        </w:rPr>
        <w:instrText>SEQ Figure \* ARABIC</w:instrText>
      </w:r>
      <w:r w:rsidR="00A24486" w:rsidRPr="00584BCB">
        <w:rPr>
          <w:rFonts w:ascii="Rubik" w:hAnsi="Rubik" w:cs="Rubik" w:hint="cs"/>
          <w:color w:val="000000" w:themeColor="text1"/>
        </w:rPr>
        <w:fldChar w:fldCharType="separate"/>
      </w:r>
      <w:r w:rsidR="008D7089" w:rsidRPr="00584BCB">
        <w:rPr>
          <w:rFonts w:ascii="Rubik" w:hAnsi="Rubik" w:cs="Rubik"/>
          <w:noProof/>
          <w:color w:val="000000" w:themeColor="text1"/>
        </w:rPr>
        <w:t>2</w:t>
      </w:r>
      <w:r w:rsidR="00A24486" w:rsidRPr="00584BCB">
        <w:rPr>
          <w:rFonts w:ascii="Rubik" w:hAnsi="Rubik" w:cs="Rubik" w:hint="cs"/>
          <w:color w:val="000000" w:themeColor="text1"/>
        </w:rPr>
        <w:fldChar w:fldCharType="end"/>
      </w:r>
      <w:r w:rsidR="00A24486" w:rsidRPr="00584BCB">
        <w:rPr>
          <w:rFonts w:ascii="Rubik" w:hAnsi="Rubik" w:cs="Rubik" w:hint="cs"/>
          <w:color w:val="000000" w:themeColor="text1"/>
        </w:rPr>
        <w:t xml:space="preserve"> PRISMA flow diagram for non-randomised studies</w:t>
      </w:r>
    </w:p>
    <w:p w14:paraId="25F7E73D" w14:textId="16F97DDC" w:rsidR="00BD1825" w:rsidRPr="00584BCB" w:rsidRDefault="00BD1825" w:rsidP="00BD1825">
      <w:pPr>
        <w:rPr>
          <w:rFonts w:ascii="Rubik" w:hAnsi="Rubik"/>
          <w:color w:val="000000" w:themeColor="text1"/>
          <w:sz w:val="22"/>
        </w:rPr>
      </w:pPr>
    </w:p>
    <w:p w14:paraId="371FA075" w14:textId="77777777" w:rsidR="00B241F2" w:rsidRPr="00584BCB" w:rsidRDefault="00B241F2" w:rsidP="00BD1825">
      <w:pPr>
        <w:pStyle w:val="Heading2"/>
        <w:rPr>
          <w:rFonts w:ascii="Rubik" w:hAnsi="Rubik"/>
          <w:bCs/>
          <w:color w:val="000000" w:themeColor="text1"/>
          <w:sz w:val="22"/>
          <w:szCs w:val="22"/>
        </w:rPr>
        <w:sectPr w:rsidR="00B241F2" w:rsidRPr="00584BCB" w:rsidSect="007E6707">
          <w:pgSz w:w="12240" w:h="15840"/>
          <w:pgMar w:top="950" w:right="1440" w:bottom="1440" w:left="1440" w:header="720" w:footer="720" w:gutter="0"/>
          <w:cols w:space="720"/>
        </w:sectPr>
      </w:pPr>
    </w:p>
    <w:p w14:paraId="71D4E980" w14:textId="45C61533" w:rsidR="00BE76F9" w:rsidRPr="00584BCB" w:rsidRDefault="00BE76F9" w:rsidP="00BE76F9">
      <w:pPr>
        <w:pStyle w:val="Heading1"/>
        <w:rPr>
          <w:color w:val="000000" w:themeColor="text1"/>
        </w:rPr>
      </w:pPr>
      <w:bookmarkStart w:id="31" w:name="_Toc66716609"/>
      <w:r w:rsidRPr="00584BCB">
        <w:rPr>
          <w:color w:val="000000" w:themeColor="text1"/>
        </w:rPr>
        <w:t>Study and participant characteristics</w:t>
      </w:r>
      <w:bookmarkEnd w:id="31"/>
    </w:p>
    <w:p w14:paraId="613B95B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The study and participant characteristics are provided in Table 1 and Table 2. </w:t>
      </w:r>
    </w:p>
    <w:p w14:paraId="687E6857" w14:textId="64D76C46" w:rsidR="00237202" w:rsidRPr="00584BCB" w:rsidRDefault="00237202" w:rsidP="00237202">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Participants</w:t>
      </w:r>
    </w:p>
    <w:p w14:paraId="6BD497EF" w14:textId="5DE30125" w:rsidR="00BD1825" w:rsidRPr="00584BCB" w:rsidRDefault="00BD1825" w:rsidP="00BD1825">
      <w:pPr>
        <w:rPr>
          <w:rFonts w:ascii="Rubik" w:hAnsi="Rubik"/>
          <w:color w:val="000000" w:themeColor="text1"/>
          <w:sz w:val="22"/>
        </w:rPr>
      </w:pPr>
      <w:r w:rsidRPr="00584BCB">
        <w:rPr>
          <w:rFonts w:ascii="Rubik" w:hAnsi="Rubik"/>
          <w:color w:val="000000" w:themeColor="text1"/>
          <w:sz w:val="22"/>
        </w:rPr>
        <w:t>We included 26 RCTs with a total of 2679 participants (range 14-219). For the total number of participants randomised, we did not count participants who were initially randomised, but then excluded from studies for reasons such as ineligibility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{"citationID":"4Q0MXA7n","properties":{"formattedCitation":"\\super 15,16\\nosupersub{}","plainCitation":"15,16","noteIndex":0},"citationItems":[{"id":109068,"uris":["http://zotero.org/users/5729315/items/A4WZ74IE"],"uri":["http://zotero.org/users/5729315/items/A4WZ74IE"],"itemData":{"id":109068,"type":"article-journal","abstract":"Objective: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Sally"}],"issued":{"date-parts":[["2018"]]}},"label":"page"},{"id":109060,"uris":["http://zotero.org/users/5729315/items/3BJ5EDKM"],"uri":["http://zotero.org/users/5729315/items/3BJ5EDKM"],"itemData":{"id":109060,"type":"article-journal","abstract":"Objective:Employment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15,16</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One study included data from participants in previous RCTs, and we included these in our total count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{"citationID":"t7FPpxMH","properties":{"formattedCitation":"\\super 17\\nosupersub{}","plainCitation":"17","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17</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Most of the studies included people with psychosocial disability (23 studies, n=2465), and the three remaining studies included people with autism (n=214). Of those studies with people with psychosocial disability, three studies included people with schizophrenia only</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{"citationID":"ZjtFPvY7","properties":{"formattedCitation":"\\super 17\\uc0\\u8211{}19\\nosupersub{}","plainCitation":"17–19","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P."}],"issued":{"date-parts":[["2020"]]}},"label":"page"},{"id":109095,"uris":["http://zotero.org/users/5729315/items/TJN67E5J"],"uri":["http://zotero.org/users/5729315/items/TJN67E5J"],"itemData":{"id":109095,"type":"article-journal","abstract":"Objective\nSupported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17–19</w:t>
      </w:r>
      <w:r w:rsidRPr="00584BCB">
        <w:rPr>
          <w:rFonts w:ascii="Rubik" w:hAnsi="Rubik"/>
          <w:color w:val="000000" w:themeColor="text1"/>
          <w:sz w:val="22"/>
        </w:rPr>
        <w:fldChar w:fldCharType="end"/>
      </w:r>
      <w:r w:rsidRPr="00584BCB">
        <w:rPr>
          <w:rFonts w:ascii="Rubik" w:hAnsi="Rubik"/>
          <w:color w:val="000000" w:themeColor="text1"/>
          <w:sz w:val="22"/>
        </w:rPr>
        <w:t>, while another three studies focused on people with psychosis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{"citationID":"KDjzDPpj","properties":{"formattedCitation":"\\super 20\\uc0\\u8211{}22\\nosupersub{}","plainCitation":"20–22","noteIndex":0},"citationItems":[{"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20–22</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The 2012 study by Davis et al. included veterans with post-traumatic stress disorder</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{"citationID":"s0X2UAF1","properties":{"formattedCitation":"\\super 23\\nosupersub{}","plainCitation":"23","noteIndex":0},"citationItems":[{"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vertAlign w:val="superscript"/>
        </w:rPr>
        <w:instrText>χ</w:instrText>
      </w:r>
      <w:r w:rsidRPr="00584BCB">
        <w:rPr>
          <w:rFonts w:ascii="Rubik" w:hAnsi="Rubik"/>
          <w:color w:val="000000" w:themeColor="text1"/>
          <w:sz w:val="22"/>
          <w:vertAlign w:val="superscript"/>
        </w:rPr>
        <w:instrText xml:space="preserve">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23</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and the 2018 study by Davis et al. included participants with a mood, anxiety and/or psychotic disorder who were recently released from arrest or incarceration</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{"citationID":"rIXqOMoh","properties":{"formattedCitation":"\\super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24</w:t>
      </w:r>
      <w:r w:rsidRPr="00584BCB">
        <w:rPr>
          <w:rFonts w:ascii="Rubik" w:hAnsi="Rubik"/>
          <w:color w:val="000000" w:themeColor="text1"/>
          <w:sz w:val="22"/>
        </w:rPr>
        <w:fldChar w:fldCharType="end"/>
      </w:r>
      <w:r w:rsidRPr="00584BCB">
        <w:rPr>
          <w:rFonts w:ascii="Rubik" w:hAnsi="Rubik"/>
          <w:color w:val="000000" w:themeColor="text1"/>
          <w:sz w:val="22"/>
        </w:rPr>
        <w:t>. This therefore limits the generalisability of the results from the Davis et al. 2012 and Davis et al. 2018 studies to people with psychosocial disability who, respectively, are veterans or were recently released from arrest or incarceration. In one study, only participants without severe impairment were included</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{"citationID":"B3Us9Oqc","properties":{"formattedCitation":"\\super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A study with 109 people with early psychosis included one participant who also had a diagnosis of Asperger’s syndrome</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{"citationID":"Wb2t4K0H","properties":{"formattedCitation":"\\super 21\\nosupersub{}","plainCitation":"21","noteIndex":0},"citationItems":[{"id":109094,"uris":["http://zotero.org/users/5729315/items/4939LXAS"],"uri":["http://zotero.org/users/5729315/items/4939LXAS"],"itemData":{"id":109094,"type":"article-journal","abstract":"Aim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21</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55D59F2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All of the studies only included participants who were diagnosed with a mental disorder at baseline. Albeit, we included one RCT with a small percentage of participants (7%) who were in receipt of long-term mental health services (therefore severe mental illness was assumed by the study author) but for whom “no diagnosis was available” or “diagnosis was postponed”</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{"citationID":"pugg4LbM","properties":{"formattedCitation":"\\super 26\\nosupersub{}","plainCitation":"26","noteIndex":0},"citationItems":[{"id":109088,"uris":["http://zotero.org/users/5729315/items/N6NSCE65"],"uri":["http://zotero.org/users/5729315/items/N6NSCE65"],"itemData":{"id":109088,"type":"article-journal","container-title":"Psychiatric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26</w:t>
      </w:r>
      <w:r w:rsidRPr="00584BCB">
        <w:rPr>
          <w:rFonts w:ascii="Rubik" w:hAnsi="Rubik"/>
          <w:color w:val="000000" w:themeColor="text1"/>
          <w:sz w:val="22"/>
        </w:rPr>
        <w:fldChar w:fldCharType="end"/>
      </w:r>
      <w:r w:rsidRPr="00584BCB">
        <w:rPr>
          <w:rFonts w:ascii="Rubik" w:hAnsi="Rubik"/>
          <w:color w:val="000000" w:themeColor="text1"/>
          <w:sz w:val="22"/>
        </w:rPr>
        <w:t xml:space="preserve">. </w:t>
      </w:r>
    </w:p>
    <w:p w14:paraId="7F46F08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Seven of the eight studies assessing the effectiveness of IPS compared to TVR only included participants who were unemployed at baseline</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{"citationID":"pyyMIC0s","properties":{"formattedCitation":"\\super 19,23,25\\uc0\\u8211{}29\\nosupersub{}","plainCitation":"19,23,25–29","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vertAlign w:val="superscript"/>
        </w:rPr>
        <w:instrText>χ</w:instrText>
      </w:r>
      <w:r w:rsidRPr="00584BCB">
        <w:rPr>
          <w:rFonts w:ascii="Rubik" w:hAnsi="Rubik"/>
          <w:color w:val="000000" w:themeColor="text1"/>
          <w:sz w:val="22"/>
          <w:vertAlign w:val="superscript"/>
        </w:rPr>
        <w:instrText xml:space="preserve">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E."}],"issued":{"date-parts":[["2012",5,1]]}},"label":"page"},{"id":109087,"uris":["http://zotero.org/users/5729315/items/EJV5MDDN"],"uri":["http://zotero.org/users/5729315/items/EJV5MDDN"],"itemData":{"id":109087,"type":"article-journal","abstract":"Objectives: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label":"page"},{"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label":"page"},{"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19,23,25–29</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5F86840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three studies with people with autism included youth with a medical diagnosis of ASD or educational identification of autism, aged between 18 and 21 years old</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{"citationID":"mwrtjHjq","properties":{"formattedCitation":"\\super 30\\uc0\\u8211{}33\\nosupersub{}","plainCitation":"30–33","noteIndex":0},"citationItems":[{"id":109049,"uris":["http://zotero.org/users/5729315/items/TRQWYYPI"],"uri":["http://zotero.org/users/5729315/items/TRQWYYPI"],"itemData":{"id":109049,"type":"article-journal","abstract":"For most youth with autism spectrum disorders (ASD), employment upon graduation from high school or college is elusive. Employment rates are reported in many studies to be very low despite many years of intensive special education services. This paper presented the preliminary results of a randomized clinical trial of Project SEARCH plus ASD Supports on the employment outcomes for youth with ASD between the ages of 18–21&amp;nbsp;years of age. This model provides very promising results in that the employment outcomes for youth in the treatment group were much higher in non-traditional jobs with higher than minimum wage incomes than for youth in the control condition. Specifically, 21 out of 24 (87.5&amp;nbsp;%) treatment group participants acquired employment while 1 of 16 (6.25&amp;nbsp;%) of control group participants acquired employment.","container-title":"Journal of Autism and Developmental Disorders","DOI":"10.1007/s10803-013-1892-x","ISSN":"1573-3432","issue":"3","journalAbbreviation":"J Autism Dev Disord","language":"en","note":"Company: Springer\nDistributor: Springer\nInstitution: Springer\nLabel: Springer\nnumber: 3\npublisher: Springer US","page":"487-500","source":"rd.springer.com","title":"Competitive Employment for Youth with Autism Spectrum Disorders: Early Results from a Randomized Clinical Trial","title-short":"Competitive Employment for Youth with Autism Spectrum Disorders","volume":"44","author":[{"family":"Wehman","given":"Paul H."},{"family":"Schall","given":"Carol M."},{"family":"McDonough","given":"Jennifer"},{"family":"Kregel","given":"John"},{"family":"Brooke","given":"Valerie"},{"family":"Molinelli","given":"Alissa"},{"family":"Ham","given":"Whitney"},{"family":"Graham","given":"Carolyn W."},{"family":"Riehle","given":"J. Erin"},{"family":"Collins","given":"Holly T."},{"family":"Thiss","given":"Weston"}],"issued":{"date-parts":[["2014",3,1]]}},"label":"page"},{"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per hour. Furthermore, 87% of those individuals maintained employment at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and 12% acquiring employment by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9) for a mean hourly wage of $9.61 per hour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label":"page"},{"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30–33</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Wehman et al. publish findings from the same study in two separate articles, in 2014 and 2017</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{"citationID":"OAPBg0JW","properties":{"formattedCitation":"\\super 30,31\\nosupersub{}","plainCitation":"30,31","noteIndex":0},"citationItems":[{"id":109049,"uris":["http://zotero.org/users/5729315/items/TRQWYYPI"],"uri":["http://zotero.org/users/5729315/items/TRQWYYPI"],"itemData":{"id":109049,"type":"article-journal","abstract":"For most youth with autism spectrum disorders (ASD), employment upon graduation from high school or college is elusive. Employment rates are reported in many studies to be very low despite many years of intensive special education services. This paper presented the preliminary results of a randomized clinical trial of Project SEARCH plus ASD Supports on the employment outcomes for youth with ASD between the ages of 18–21&amp;nbsp;years of age. This model provides very promising results in that the employment outcomes for youth in the treatment group were much higher in non-traditional jobs with higher than minimum wage incomes than for youth in the control condition. Specifically, 21 out of 24 (87.5&amp;nbsp;%) treatment group participants acquired employment while 1 of 16 (6.25&amp;nbsp;%) of control group participants acquired employment.","container-title":"Journal of Autism and Developmental Disorders","DOI":"10.1007/s10803-013-1892-x","ISSN":"1573-3432","issue":"3","journalAbbreviation":"J Autism Dev Disord","language":"en","note":"Company: Springer\nDistributor: Springer\nInstitution: Springer\nLabel: Springer\nnumber: 3\npublisher: Springer US","page":"487-500","source":"rd.springer.com","title":"Competitive Employment for Youth with Autism Spectrum Disorders: Early Results from a Randomized Clinical Trial","title-short":"Competitive Employment for Youth with Autism Spectrum Disorders","volume":"44","author":[{"family":"Wehman","given":"Paul H."},{"family":"Schall","given":"Carol M."},{"family":"McDonough","given":"Jennifer"},{"family":"Kregel","given":"John"},{"family":"Brooke","given":"Valerie"},{"family":"Molinelli","given":"Alissa"},{"family":"Ham","given":"Whitney"},{"family":"Graham","given":"Carolyn W."},{"family":"Riehle","given":"J. Erin"},{"family":"Collins","given":"Holly T."},{"family":"Thiss","given":"Weston"}],"issued":{"date-parts":[["2014",3,1]]}},"label":"page"},{"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per hour. Furthermore, 87% of those individuals maintained employment at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and 12% acquiring employment by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30,31</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In Wehman et al.’s preliminary 2014 findings, the authors reported that 25% of participants in the intervention and control groups had intellectual disability in addition to ASD</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{"citationID":"fdZJ9Wkf","properties":{"formattedCitation":"\\super 30\\nosupersub{}","plainCitation":"30","noteIndex":0},"citationItems":[{"id":109049,"uris":["http://zotero.org/users/5729315/items/TRQWYYPI"],"uri":["http://zotero.org/users/5729315/items/TRQWYYPI"],"itemData":{"id":109049,"type":"article-journal","abstract":"For most youth with autism spectrum disorders (ASD), employment upon graduation from high school or college is elusive. Employment rates are reported in many studies to be very low despite many years of intensive special education services. This paper presented the preliminary results of a randomized clinical trial of Project SEARCH plus ASD Supports on the employment outcomes for youth with ASD between the ages of 18–21&amp;nbsp;years of age. This model provides very promising results in that the employment outcomes for youth in the treatment group were much higher in non-traditional jobs with higher than minimum wage incomes than for youth in the control condition. Specifically, 21 out of 24 (87.5&amp;nbsp;%) treatment group participants acquired employment while 1 of 16 (6.25&amp;nbsp;%) of control group participants acquired employment.","container-title":"Journal of Autism and Developmental Disorders","DOI":"10.1007/s10803-013-1892-x","ISSN":"1573-3432","issue":"3","journalAbbreviation":"J Autism Dev Disord","language":"en","note":"Company: Springer\nDistributor: Springer\nInstitution: Springer\nLabel: Springer\nnumber: 3\npublisher: Springer US","page":"487-500","source":"rd.springer.com","title":"Competitive Employment for Youth with Autism Spectrum Disorders: Early Results from a Randomized Clinical Trial","title-short":"Competitive Employment for Youth with Autism Spectrum Disorders","volume":"44","author":[{"family":"Wehman","given":"Paul H."},{"family":"Schall","given":"Carol M."},{"family":"McDonough","given":"Jennifer"},{"family":"Kregel","given":"John"},{"family":"Brooke","given":"Valerie"},{"family":"Molinelli","given":"Alissa"},{"family":"Ham","given":"Whitney"},{"family":"Graham","given":"Carolyn W."},{"family":"Riehle","given":"J. Erin"},{"family":"Collins","given":"Holly T."},{"family":"Thiss","given":"Weston"}],"issued":{"date-parts":[["2014",3,1]]}}}],"schema":"https://github.com/citation-style-language/schema/raw/master/csl-citation.json"}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30</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However, the most recent findings reported by Wehman et al. in 2017 included additional participants and do not report the proportion of participants with intellectual disability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{"citationID":"r01nRuZU","properties":{"formattedCitation":"\\super 31\\nosupersub{}","plainCitation":"31","noteIndex":0},"citationItems":[{"id":109048,"uris":["http://zotero.org/users/5729315/items/Y8334Z4B"],"uri":["http://zotero.org/users/5729315/items/Y8334Z4B"],"itemData":{"id":109048,"type":"article-journal","abstract":"The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per hour. Furthermore, 87% of those individuals maintained employment at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and 12% acquiring employment by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31</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In the study conducted by Wehman et al. in 2020, 44.8% of intervention participants and 62.2% of control participants reported co-morbid secondary diagnoses, of which the most common was intellectual disability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{"citationID":"OdluI3K2","properties":{"formattedCitation":"\\super 32\\nosupersub{}","plainCitation":"32","noteIndex":0},"citationItems":[{"id":109046,"uris":["http://zotero.org/users/5729315/items/UZKX84I2"],"uri":["http://zotero.org/users/5729315/items/UZKX84I2"],"itemData":{"id":109046,"type":"article-journal","abstract":"This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9) for a mean hourly wage of $9.61 per hour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32</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The participants in the Whittenburg et al. 2020 study were military-dependent or -connected youth with autism; that is, their immediate family members worked for the military or were veterans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{"citationID":"yKsvufdM","properties":{"formattedCitation":"\\super 33\\nosupersub{}","plainCitation":"33","noteIndex":0},"citationItems":[{"id":109052,"uris":["http://zotero.org/users/5729315/items/7ANZW874"],"uri":["http://zotero.org/users/5729315/items/7ANZW874"],"itemData":{"id":109052,"type":"article-journal","abstract":"Introduction: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33</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While participants with comorbid intellectual disability and/or mental health disorders were included in this study, the authors were unable to </w:t>
      </w:r>
      <w:r w:rsidRPr="00584BCB">
        <w:rPr>
          <w:rFonts w:ascii="Rubik" w:hAnsi="Rubik"/>
          <w:color w:val="000000" w:themeColor="text1"/>
          <w:sz w:val="22"/>
        </w:rPr>
        <w:lastRenderedPageBreak/>
        <w:t>share with us the proportion of participants with these comorbidities.</w:t>
      </w:r>
    </w:p>
    <w:p w14:paraId="126D3534" w14:textId="1A70FA24" w:rsidR="00237202" w:rsidRPr="00584BCB" w:rsidRDefault="00237202" w:rsidP="00237202">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Location and duration of studies</w:t>
      </w:r>
    </w:p>
    <w:p w14:paraId="679DEDE3" w14:textId="722557C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Almost half of the studies were performed in the US (n=12), </w:t>
      </w:r>
      <w:r w:rsidR="00CD2EA1" w:rsidRPr="00584BCB">
        <w:rPr>
          <w:rFonts w:ascii="Rubik" w:hAnsi="Rubik"/>
          <w:color w:val="000000" w:themeColor="text1"/>
          <w:sz w:val="22"/>
        </w:rPr>
        <w:t xml:space="preserve">three </w:t>
      </w:r>
      <w:r w:rsidRPr="00584BCB">
        <w:rPr>
          <w:rFonts w:ascii="Rubik" w:hAnsi="Rubik"/>
          <w:color w:val="000000" w:themeColor="text1"/>
          <w:sz w:val="22"/>
        </w:rPr>
        <w:t>in the UK, three in Canada, two in Japan</w:t>
      </w:r>
      <w:r w:rsidR="00CD2EA1" w:rsidRPr="00584BCB">
        <w:rPr>
          <w:rFonts w:ascii="Rubik" w:hAnsi="Rubik"/>
          <w:color w:val="000000" w:themeColor="text1"/>
          <w:sz w:val="22"/>
        </w:rPr>
        <w:t>, two in Australia,</w:t>
      </w:r>
      <w:r w:rsidRPr="00584BCB">
        <w:rPr>
          <w:rFonts w:ascii="Rubik" w:hAnsi="Rubik"/>
          <w:color w:val="000000" w:themeColor="text1"/>
          <w:sz w:val="22"/>
        </w:rPr>
        <w:t xml:space="preserve"> and one in each Sweden, Switzerland, Netherlands, </w:t>
      </w:r>
      <w:r w:rsidR="00CD2EA1" w:rsidRPr="00584BCB">
        <w:rPr>
          <w:rFonts w:ascii="Rubik" w:hAnsi="Rubik"/>
          <w:color w:val="000000" w:themeColor="text1"/>
          <w:sz w:val="22"/>
        </w:rPr>
        <w:t xml:space="preserve">and </w:t>
      </w:r>
      <w:r w:rsidRPr="00584BCB">
        <w:rPr>
          <w:rFonts w:ascii="Rubik" w:hAnsi="Rubik"/>
          <w:color w:val="000000" w:themeColor="text1"/>
          <w:sz w:val="22"/>
        </w:rPr>
        <w:t>Hong Kong. The duration of interventions ranged from 5-10 business days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{"citationID":"4siYh41N","properties":{"formattedCitation":"\\super 17,34\\nosupersub{}","plainCitation":"17,34","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D."}],"issued":{"date-parts":[["2015",8,1]]}},"label":"page"},{"id":109083,"uris":["http://zotero.org/users/5729315/items/7YA6NIN4"],"uri":["http://zotero.org/users/5729315/items/7YA6NIN4"],"itemData":{"id":109083,"type":"article-journal","container-title":"Psychiatric Services","DOI":"10.1176/appi.ps.201400504","ISSN":"1075-2730","issue":"11","journalAbbreviation":"Psychiatric services (Washington, D.C.)","language":"English (US)","note":"publisher: American Psychiatric Association\nPMID: 26130002","page":"1173-1179","source":"www.scholars.northwestern.edu","title":"Job offers to individuals with severe mental illness after participation in virtual reality job interview training","volume":"66","author":[{"family":"Smith","given":"Matthew J."},{"family":"Fleming","given":"Michael F."},{"family":"Wright","given":"Michael A."},{"family":"Jordan","given":"Neil"},{"family":"Humm","given":"Laura Boteler"},{"family":"Olsen","given":"Dale"},{"family":"Bell","given":"Morris D."}],"issued":{"date-parts":[["2015",11,1]]}},"label":"page"}],"schema":"https://github.com/citation-style-language/schema/raw/master/csl-citation.json"}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17,34</w:t>
      </w:r>
      <w:r w:rsidRPr="00584BCB">
        <w:rPr>
          <w:rFonts w:ascii="Rubik" w:hAnsi="Rubik"/>
          <w:color w:val="000000" w:themeColor="text1"/>
          <w:sz w:val="22"/>
        </w:rPr>
        <w:fldChar w:fldCharType="end"/>
      </w:r>
      <w:r w:rsidRPr="00584BCB">
        <w:rPr>
          <w:rFonts w:ascii="Rubik" w:hAnsi="Rubik"/>
          <w:color w:val="000000" w:themeColor="text1"/>
          <w:sz w:val="22"/>
        </w:rPr>
        <w:t xml:space="preserve"> to 5 years </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{"citationID":"1xHJClik","properties":{"formattedCitation":"\\super 35,36\\nosupersub{}","plainCitation":"35,36","noteIndex":0},"citationItems":[{"id":109104,"uris":["http://zotero.org/users/5729315/items/M3RIRUR8"],"uri":["http://zotero.org/users/5729315/items/M3RIRUR8"],"itemData":{"id":109104,"type":"article-journal","abstract":"OBJECTIVE: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label":"page"},{"id":109110,"uris":["http://zotero.org/users/5729315/items/S5IGZXKT"],"uri":["http://zotero.org/users/5729315/items/S5IGZXKT"],"itemData":{"id":109110,"type":"article-journal","abstract":"Hoffmann H, Jäckel D, Glauser S, Kupper Z. A randomised controlled trial of the efficacy of supported employment. Objective: Although numerous randomised controlled trials indicated the superiority of supported employment (SE), we still have too little evidence that SE is more effective than traditional vocational rehabilitation programmes (TVR) in Western European countries with highly developed social security and welfare systems, sophisticated rehabilitation programmes and high thresholds to the open labour market. The aim of this study is to prove the efficacy of SE in Switzerland. Method: Following a 2-week intake assessment, 100 unemployed persons with stabilised severe mental illness (SMI) were randomly assigned to either the SE programme (n = 46) or to the most viable locally available TVR (n = 54). Follow-up lasted 24 months. Results: After the first year, the rate of competitive employment reached a mean level of 48.2% in the SE group and of 18.5% in the TVR group. 58.7% of the SE group were ever competitively employed as opposed to 25.9% of the TVR group. In the second year, SE group participants were competitively employed for 24.5 weeks as compared with 10.2 in the TVR group. The groups showed no significant differences in the non-vocational outcome criteria. Conclusion: The SE programme in Switzerland also proved more effective than TVR and seems to be applicable to the socio-economic context of Western European countries.","container-title":"Acta Psychiatrica Scandinavica","DOI":"https://doi.org/10.1111/j.1600-0447.2011.01780.x","ISSN":"1600-0447","issue":"2","language":"en","note":"_eprint: https://onlinelibrary.wiley.com/doi/pdf/10.1111/j.1600-0447.2011.01780.x","page":"157-167","source":"Wiley Online Library","title":"A randomised controlled trial of the efficacy of supported employment","volume":"125","author":[{"family":"Hoffmann","given":"H."},{"family":"Jäckel","given":"D."},{"family":"Glauser","given":"S."},{"family":"Kupper","given":"Z."}],"issued":{"date-parts":[["2012"]]}},"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35,36</w:t>
      </w:r>
      <w:r w:rsidRPr="00584BCB">
        <w:rPr>
          <w:rFonts w:ascii="Rubik" w:hAnsi="Rubik"/>
          <w:color w:val="000000" w:themeColor="text1"/>
          <w:sz w:val="22"/>
        </w:rPr>
        <w:fldChar w:fldCharType="end"/>
      </w:r>
      <w:r w:rsidRPr="00584BCB">
        <w:rPr>
          <w:rFonts w:ascii="Rubik" w:hAnsi="Rubik"/>
          <w:color w:val="000000" w:themeColor="text1"/>
          <w:sz w:val="22"/>
        </w:rPr>
        <w:t>. The studies conducted by Bond et al. and Michon et al. placed no limits on the duration of the interventions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{"citationID":"J44EfeEj","properties":{"formattedCitation":"\\super 16,26\\nosupersub{}","plainCitation":"16,26","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16,26</w:t>
      </w:r>
      <w:r w:rsidRPr="00584BCB">
        <w:rPr>
          <w:rFonts w:ascii="Rubik" w:hAnsi="Rubik"/>
          <w:color w:val="000000" w:themeColor="text1"/>
          <w:sz w:val="22"/>
        </w:rPr>
        <w:fldChar w:fldCharType="end"/>
      </w:r>
      <w:r w:rsidRPr="00584BCB">
        <w:rPr>
          <w:rFonts w:ascii="Rubik" w:hAnsi="Rubik"/>
          <w:color w:val="000000" w:themeColor="text1"/>
          <w:sz w:val="22"/>
        </w:rPr>
        <w:t>. The duration of the intervention was unclear in the studies by Oshima et al. and Schneider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{"citationID":"t7TiWfSw","properties":{"formattedCitation":"\\super 29,37\\nosupersub{}","plainCitation":"29,37","noteIndex":0},"citationItems":[{"id":109079,"uris":["http://zotero.org/users/5729315/items/JADYDV9W"],"uri":["http://zotero.org/users/5729315/items/JADYDV9W"],"itemData":{"id":109079,"type":"article-journal","abstract":"OBJECTIVE: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29,37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p>
    <w:p w14:paraId="5DF0C3EB" w14:textId="29173556" w:rsidR="00237202" w:rsidRPr="00584BCB" w:rsidRDefault="00237202" w:rsidP="00237202">
      <w:pPr>
        <w:pStyle w:val="PlainParagraph"/>
        <w:spacing w:before="200"/>
        <w:ind w:left="0"/>
        <w:rPr>
          <w:rFonts w:ascii="Rubik" w:hAnsi="Rubik"/>
          <w:color w:val="000000" w:themeColor="text1"/>
        </w:rPr>
      </w:pPr>
      <w:r w:rsidRPr="00584BCB">
        <w:rPr>
          <w:rFonts w:ascii="Rubik Medium" w:hAnsi="Rubik Medium" w:cs="Rubik Medium"/>
          <w:color w:val="000000" w:themeColor="text1"/>
          <w:sz w:val="28"/>
          <w:szCs w:val="28"/>
        </w:rPr>
        <w:t>Intervention characteristics</w:t>
      </w:r>
    </w:p>
    <w:p w14:paraId="3A274DAD" w14:textId="3A83661A"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The intervention and comparison condition characteristics of studies with people with psychosocial </w:t>
      </w:r>
      <w:r w:rsidR="000823D5" w:rsidRPr="00584BCB">
        <w:rPr>
          <w:rFonts w:ascii="Rubik" w:hAnsi="Rubik"/>
          <w:color w:val="000000" w:themeColor="text1"/>
          <w:sz w:val="22"/>
        </w:rPr>
        <w:t>disability</w:t>
      </w:r>
      <w:r w:rsidRPr="00584BCB">
        <w:rPr>
          <w:rFonts w:ascii="Rubik" w:hAnsi="Rubik"/>
          <w:color w:val="000000" w:themeColor="text1"/>
          <w:sz w:val="22"/>
        </w:rPr>
        <w:t xml:space="preserve"> are summarised in Table 3, and for studies with people with autism in Table 4. For people with psychosocial </w:t>
      </w:r>
      <w:r w:rsidR="000823D5" w:rsidRPr="00584BCB">
        <w:rPr>
          <w:rFonts w:ascii="Rubik" w:hAnsi="Rubik"/>
          <w:color w:val="000000" w:themeColor="text1"/>
          <w:sz w:val="22"/>
        </w:rPr>
        <w:t>disability</w:t>
      </w:r>
      <w:r w:rsidRPr="00584BCB">
        <w:rPr>
          <w:rFonts w:ascii="Rubik" w:hAnsi="Rubik"/>
          <w:color w:val="000000" w:themeColor="text1"/>
          <w:sz w:val="22"/>
        </w:rPr>
        <w:t>, individual placement and support (IPS) was the most commonly used intervention (15/23 studies)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{"citationID":"b2D2sgJb","properties":{"formattedCitation":"\\super 16,18\\uc0\\u8211{}23,25\\uc0\\u8211{}29,37\\uc0\\u8211{}39\\nosupersub{}","plainCitation":"16,18–23,25–29,37–39","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P."}],"issued":{"date-parts":[["2020"]]}},"label":"page"},{"id":109095,"uris":["http://zotero.org/users/5729315/items/TJN67E5J"],"uri":["http://zotero.org/users/5729315/items/TJN67E5J"],"itemData":{"id":109095,"type":"article-journal","abstract":"Objective\nSupported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rPr>
        <w:instrText>χ</w:instrText>
      </w:r>
      <w:r w:rsidRPr="00584BCB">
        <w:rPr>
          <w:rFonts w:ascii="Rubik" w:hAnsi="Rubik"/>
          <w:color w:val="000000" w:themeColor="text1"/>
          <w:sz w:val="22"/>
        </w:rPr>
        <w:instrText xml:space="preserve">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E."}],"issued":{"date-parts":[["2012",5,1]]}},"label":"page"},{"id":109087,"uris":["http://zotero.org/users/5729315/items/EJV5MDDN"],"uri":["http://zotero.org/users/5729315/items/EJV5MDDN"],"itemData":{"id":109087,"type":"article-journal","abstract":"Objectives: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id":109090,"uris":["http://zotero.org/users/5729315/items/Y7UXXWJB"],"uri":["http://zotero.org/users/5729315/items/Y7UXXWJB"],"itemData":{"id":109090,"type":"article-journal","abstra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systems.\nMETHODS: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area.\nRESULTS: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study.\nCONCLUSION: The results support previous international findings that IPS-supported employment is more effective than non-integrated supported employment. IPS can be successfully implemented this way in Australia, but with a loss of effect strength compared to previous USA trials.","container-title":"Australian Occupational Therapy Journal","DOI":"10.1111/1440-1630.12148","ISSN":"1440-1630","issue":"6","journalAbbreviation":"Aust Occup Ther J","language":"eng","note":"PMID: 25284162","page":"424-436","source":"PubMed","title":"A multi-site randomised controlled trial of evidence-based supported employment for adults with severe and persistent mental illness","volume":"61","author":[{"family":"Waghorn","given":"Geoffrey"},{"family":"Dias","given":"Shannon"},{"family":"Gladman","given":"Beverley"},{"family":"Harris","given":"Meredith"},{"family":"Saha","given":"Sukanta"}],"issued":{"date-parts":[["2014",12]]}},"label":"page"},{"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label":"page"},{"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label":"page"},{"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1</w:t>
      </w:r>
      <w:r w:rsidRPr="00584BCB">
        <w:rPr>
          <w:rFonts w:ascii="Rubik" w:hAnsi="Rubik"/>
          <w:color w:val="000000" w:themeColor="text1"/>
          <w:sz w:val="22"/>
          <w:vertAlign w:val="superscript"/>
        </w:rPr>
        <w:t>6,18–23,25–29,37–39</w:t>
      </w:r>
      <w:r w:rsidRPr="00584BCB">
        <w:rPr>
          <w:rFonts w:ascii="Rubik" w:hAnsi="Rubik"/>
          <w:color w:val="000000" w:themeColor="text1"/>
          <w:sz w:val="22"/>
        </w:rPr>
        <w:fldChar w:fldCharType="end"/>
      </w:r>
      <w:r w:rsidRPr="00584BCB">
        <w:rPr>
          <w:rFonts w:ascii="Rubik" w:hAnsi="Rubik"/>
          <w:color w:val="000000" w:themeColor="text1"/>
          <w:sz w:val="22"/>
        </w:rPr>
        <w:t xml:space="preserve">. IPS is a model of </w:t>
      </w:r>
      <w:r w:rsidR="00A8297F" w:rsidRPr="00584BCB">
        <w:rPr>
          <w:rFonts w:ascii="Rubik" w:hAnsi="Rubik"/>
          <w:color w:val="000000" w:themeColor="text1"/>
          <w:sz w:val="22"/>
        </w:rPr>
        <w:t>vocational program</w:t>
      </w:r>
      <w:r w:rsidRPr="00584BCB">
        <w:rPr>
          <w:rFonts w:ascii="Rubik" w:hAnsi="Rubik"/>
          <w:color w:val="000000" w:themeColor="text1"/>
          <w:sz w:val="22"/>
        </w:rPr>
        <w:t xml:space="preserve"> that assists clients to search for open employment, and supports them to maintain employment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{"citationID":"IPzeztzc","properties":{"formattedCitation":"\\super 40\\nosupersub{}","plainCitation":"40","noteIndex":0},"citationItems":[{"id":110156,"uris":["http://zotero.org/users/5729315/items/ZUM2TQ6L"],"uri":["http://zotero.org/users/5729315/items/ZUM2TQ6L"],"itemData":{"id":110156,"type":"book","abstract":"\"Individual Placement and Support\" published on  by Oxford University Press.","ISBN":"978-0-19-994975-5","language":"en_US","note":"container-title: Individual Placement and Support","publisher":"Oxford University Press","source":"oxford.universitypressscholarship.com","title":"Individual Placement and Support: An Evidence-Based Approach to Supported Employment","title-short":"Individual Placement and Support","URL":"https://oxford.universitypressscholarship.com/view/10.1093/acprof:oso/9780199734016.001.0001/acprof-9780199734016","author":[{"family":"Drake","given":"Robert E."},{"family":"Bond","given":"Gary R."},{"family":"Becker","given":"Deborah R."}],"accessed":{"date-parts":[["2021",2,22]]}}}],"schema":"https://github.com/citation-style-language/schema/raw/master/csl-citation.json"}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40</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(Table 3). </w:t>
      </w:r>
    </w:p>
    <w:p w14:paraId="10DBB31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Eight studies examined the effect of IPS compared to traditional vocational rehabilitation (TVR) </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{"citationID":"5X4SwllT","properties":{"formattedCitation":"\\super 19,20,23,26\\uc0\\u8211{}29,38\\nosupersub{}","plainCitation":"19,20,23,26–29,38","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vertAlign w:val="superscript"/>
        </w:rPr>
        <w:instrText>χ</w:instrText>
      </w:r>
      <w:r w:rsidRPr="00584BCB">
        <w:rPr>
          <w:rFonts w:ascii="Rubik" w:hAnsi="Rubik"/>
          <w:color w:val="000000" w:themeColor="text1"/>
          <w:sz w:val="22"/>
          <w:vertAlign w:val="superscript"/>
        </w:rPr>
        <w:instrText xml:space="preserve">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id":109090,"uris":["http://zotero.org/users/5729315/items/Y7UXXWJB"],"uri":["http://zotero.org/users/5729315/items/Y7UXXWJB"],"itemData":{"id":109090,"type":"article-journal","abstra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systems.\nMETHODS: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area.\nRESULTS: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study.\nCONCLUSION: The results support previous international findings that IPS-supported employment is more effective than non-integrated supported employment. IPS can be successfully implemented this way in Australia, but with a loss of effect strength compared to previous USA trials.","container-title":"Australian Occupational Therapy Journal","DOI":"10.1111/1440-1630.12148","ISSN":"1440-1630","issue":"6","journalAbbreviation":"Aust Occup Ther J","language":"eng","note":"PMID: 25284162","page":"424-436","source":"PubMed","title":"A multi-site randomised controlled trial of evidence-based supported employment for adults with severe and persistent mental illness","volume":"61","author":[{"family":"Waghorn","given":"Geoffrey"},{"family":"Dias","given":"Shannon"},{"family":"Gladman","given":"Beverley"},{"family":"Harris","given":"Meredith"},{"family":"Saha","given":"Sukanta"}],"issued":{"date-parts":[["2014",12]]}},"label":"page"},{"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label":"page"},{"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19,20,23,26–29,38</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and three studies examined the effect of IPS compared to control conditions other than TVR</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{"citationID":"wCfoWq0V","properties":{"formattedCitation":"\\super 16,21,39\\nosupersub{}","plainCitation":"16,21,39","noteIndex":0},"citationItems":[{"id":109094,"uris":["http://zotero.org/users/5729315/items/4939LXAS"],"uri":["http://zotero.org/users/5729315/items/4939LXAS"],"itemData":{"id":109094,"type":"article-journal","abstract":"Aim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16,21,39</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Three studies assessed the effect of IPS plus another intervention</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{"citationID":"faxj4opd","properties":{"formattedCitation":"\\super 18,22,37\\nosupersub{}","plainCitation":"18,22,37","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P."}],"issued":{"date-parts":[["2020"]]}},"label":"page"},{"id":109065,"uris":["http://zotero.org/users/5729315/items/NXIZ57FJ"],"uri":["http://zotero.org/users/5729315/items/NXIZ57FJ"],"itemData":{"id":109065,"type":"article-journal","abstract":"Background\n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18,22,37</w:t>
      </w:r>
      <w:r w:rsidRPr="00584BCB">
        <w:rPr>
          <w:rFonts w:ascii="Rubik" w:hAnsi="Rubik"/>
          <w:color w:val="000000" w:themeColor="text1"/>
          <w:sz w:val="22"/>
        </w:rPr>
        <w:fldChar w:fldCharType="end"/>
      </w:r>
      <w:r w:rsidRPr="00584BCB">
        <w:rPr>
          <w:rFonts w:ascii="Rubik" w:hAnsi="Rubik"/>
          <w:color w:val="000000" w:themeColor="text1"/>
          <w:sz w:val="22"/>
        </w:rPr>
        <w:t>, and one study that examined three interventions: TVR, IPS and IPS plus additional intervention</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{"citationID":"O7aaxiaV","properties":{"formattedCitation":"\\super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rPr>
        <w:fldChar w:fldCharType="end"/>
      </w:r>
      <w:r w:rsidRPr="00584BCB">
        <w:rPr>
          <w:rFonts w:ascii="Rubik" w:hAnsi="Rubik"/>
          <w:color w:val="000000" w:themeColor="text1"/>
          <w:sz w:val="22"/>
        </w:rPr>
        <w:t xml:space="preserve">, described in Table 3. </w:t>
      </w:r>
    </w:p>
    <w:p w14:paraId="5772AA5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remaining eight studies included the following intervention types: Job Coach based on modified IPS model</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{"citationID":"yqRWTbfp","properties":{"formattedCitation":"\\super 35\\nosupersub{}","plainCitation":"35","noteIndex":0},"citationItems":[{"id":109104,"uris":["http://zotero.org/users/5729315/items/M3RIRUR8"],"uri":["http://zotero.org/users/5729315/items/M3RIRUR8"],"itemData":{"id":109104,"type":"article-journal","abstract":"OBJECTIVE: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rPr>
        <w:fldChar w:fldCharType="end"/>
      </w:r>
      <w:r w:rsidRPr="00584BCB">
        <w:rPr>
          <w:rFonts w:ascii="Rubik" w:hAnsi="Rubik"/>
          <w:color w:val="000000" w:themeColor="text1"/>
          <w:sz w:val="22"/>
        </w:rPr>
        <w:t>, supported employment plus skills development</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{"citationID":"6Ee2NDt7","properties":{"formattedCitation":"\\super 41\\uc0\\u8211{}43\\nosupersub{}","plainCitation":"41–43","noteIndex":0},"citationItems":[{"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J."}],"issued":{"date-parts":[["2015",9,1]]}},"label":"page"},{"id":109092,"uris":["http://zotero.org/users/5729315/items/QPIAX8BY"],"uri":["http://zotero.org/users/5729315/items/QPIAX8BY"],"itemData":{"id":109092,"type":"article-journal","abstract":"Background\n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sz w:val="22"/>
        </w:rPr>
        <w:instrText>Β</w:instrText>
      </w:r>
      <w:r w:rsidRPr="00584BCB">
        <w:rPr>
          <w:rFonts w:ascii="Rubik" w:hAnsi="Rubik"/>
          <w:color w:val="000000" w:themeColor="text1"/>
          <w:sz w:val="22"/>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label":"page"},{"id":109073,"uris":["http://zotero.org/users/5729315/items/GGEWF2UJ"],"uri":["http://zotero.org/users/5729315/items/GGEWF2UJ"],"itemData":{"id":109073,"type":"article-journal","abstract":"The merging of evidence-based interventions with supported employment programs are being increasingly studied, with encouraging results. The current study is aimed at determining the impact of a brief cognitive behaviour therapy group intervention adapted for supported employment programs (called CBT-SE) on the work outcomes of: obtaining a competitive job, number of weeks worked, and number of hours worked per week. Participants were randomized to either receive the 8-session CBT-SE group on top of their supported employment program, or to only receive their support employment program. The results show that those who received CBT-SE were significantly more likely to obtain a job (75% vs 58%), and worked a significantly greater number of hours (24 vs 18</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 xml:space="preserve">hours per week). No differences were found in terms of number of weeks worked. Those in the CBT-SE condition also experienced a significant decrease in their negative symptoms over time, compared to the control condition. Although replication is needed, these results suggest that a brief cognitive-behavioural intervention specifically tailored to work-related issues can be greatly beneficial.","container-title":"Schizophrenia Research","DOI":"10.1016/j.schres.2019.10.063","ISSN":"0920-9964","journalAbbreviation":"Schizophrenia Research","language":"en","page":"126-133","source":"ScienceDirect","title":"Group cognitive behaviour therapy for supported employment – Results of a randomized controlled cohort trial","volume":"215","author":[{"family":"Lecomte","given":"Tania"},{"family":"Corbière","given":"Marc"},{"family":"Giguère","given":"Charles-Edouard"},{"family":"Titone","given":"Debra"},{"family":"Lysaker","given":"Paul"}],"issued":{"date-parts":[["2020",1,1]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41–43</w:t>
      </w:r>
      <w:r w:rsidRPr="00584BCB">
        <w:rPr>
          <w:rFonts w:ascii="Rubik" w:hAnsi="Rubik"/>
          <w:color w:val="000000" w:themeColor="text1"/>
          <w:sz w:val="22"/>
        </w:rPr>
        <w:fldChar w:fldCharType="end"/>
      </w:r>
      <w:r w:rsidRPr="00584BCB">
        <w:rPr>
          <w:rFonts w:ascii="Rubik" w:hAnsi="Rubik"/>
          <w:color w:val="000000" w:themeColor="text1"/>
          <w:sz w:val="22"/>
        </w:rPr>
        <w:t>, work-related skills development</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{"citationID":"EwYRImHQ","properties":{"formattedCitation":"\\super 17,24,34\\nosupersub{}","plainCitation":"17,24,34","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D."}],"issued":{"date-parts":[["2015",8,1]]}},"label":"page"},{"id":109107,"uris":["http://zotero.org/users/5729315/items/8JZDQPTC"],"uri":["http://zotero.org/users/5729315/items/8JZDQPTC"],"itemData":{"id":109107,"type":"article-journal","abstract":"OBJECTIVE: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T."}],"issued":{"date-parts":[["2018",12]]}},"label":"page"},{"id":109083,"uris":["http://zotero.org/users/5729315/items/7YA6NIN4"],"uri":["http://zotero.org/users/5729315/items/7YA6NIN4"],"itemData":{"id":109083,"type":"article-journal","container-title":"Psychiatric Services","DOI":"10.1176/appi.ps.201400504","ISSN":"1075-2730","issue":"11","journalAbbreviation":"Psychiatric services (Washington, D.C.)","language":"English (US)","note":"publisher: American Psychiatric Association\nPMID: 26130002","page":"1173-1179","source":"www.scholars.northwestern.edu","title":"Job offers to individuals with severe mental illness after participation in virtual reality job interview training","volume":"66","author":[{"family":"Smith","given":"Matthew J."},{"family":"Fleming","given":"Michael F."},{"family":"Wright","given":"Michael A."},{"family":"Jordan","given":"Neil"},{"family":"Humm","given":"Laura Boteler"},{"family":"Olsen","given":"Dale"},{"family":"Bell","given":"Morris D."}],"issued":{"date-parts":[["2015",11,1]]}},"label":"page"}],"schema":"https://github.com/citation-style-language/schema/raw/master/csl-citation.json"}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17,24,34</w:t>
      </w:r>
      <w:r w:rsidRPr="00584BCB">
        <w:rPr>
          <w:rFonts w:ascii="Rubik" w:hAnsi="Rubik"/>
          <w:color w:val="000000" w:themeColor="text1"/>
          <w:sz w:val="22"/>
        </w:rPr>
        <w:fldChar w:fldCharType="end"/>
      </w:r>
      <w:r w:rsidRPr="00584BCB">
        <w:rPr>
          <w:rFonts w:ascii="Rubik" w:hAnsi="Rubik"/>
          <w:color w:val="000000" w:themeColor="text1"/>
          <w:sz w:val="22"/>
        </w:rPr>
        <w:t>, and career guidance</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{"citationID":"tUWPBXi6","properties":{"formattedCitation":"\\super 15\\nosupersub{}","plainCitation":"15","noteIndex":0},"citationItems":[{"id":109068,"uris":["http://zotero.org/users/5729315/items/A4WZ74IE"],"uri":["http://zotero.org/users/5729315/items/A4WZ74IE"],"itemData":{"id":109068,"type":"article-journal","abstract":"Objective: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Project SEARCH and autism spectrum disorder (ASD) Supports was the only intervention assessed for people with autism</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{"citationID":"muHWJdMt","properties":{"formattedCitation":"\\super 31\\uc0\\u8211{}33\\nosupersub{}","plainCitation":"31–33","noteIndex":0},"citationItems":[{"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per hour. Furthermore, 87% of those individuals maintained employment at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and 12% acquiring employment by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9) for a mean hourly wage of $9.61 per hour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label":"page"},{"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31–33</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 xml:space="preserve">(Table 4). </w:t>
      </w:r>
    </w:p>
    <w:p w14:paraId="26B44864" w14:textId="613733E1" w:rsidR="00237202" w:rsidRPr="00584BCB" w:rsidRDefault="00237202" w:rsidP="00237202">
      <w:pPr>
        <w:pStyle w:val="PlainParagraph"/>
        <w:spacing w:before="200"/>
        <w:ind w:left="0"/>
        <w:rPr>
          <w:color w:val="000000" w:themeColor="text1"/>
          <w:lang w:eastAsia="en-US"/>
        </w:rPr>
      </w:pPr>
      <w:r w:rsidRPr="00584BCB">
        <w:rPr>
          <w:rFonts w:ascii="Rubik Medium" w:hAnsi="Rubik Medium" w:cs="Rubik Medium"/>
          <w:color w:val="000000" w:themeColor="text1"/>
          <w:sz w:val="28"/>
          <w:szCs w:val="28"/>
        </w:rPr>
        <w:t>Outcome measures</w:t>
      </w:r>
    </w:p>
    <w:p w14:paraId="6C34D7F8" w14:textId="562ED72D"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All RCTs reported data for at least one of our primary outcomes (proportion of participants who obtained open or </w:t>
      </w:r>
      <w:r w:rsidR="005A4F22" w:rsidRPr="00584BCB">
        <w:rPr>
          <w:rFonts w:ascii="Rubik" w:hAnsi="Rubik"/>
          <w:color w:val="000000" w:themeColor="text1"/>
          <w:sz w:val="22"/>
        </w:rPr>
        <w:t>supported</w:t>
      </w:r>
      <w:r w:rsidRPr="00584BCB">
        <w:rPr>
          <w:rFonts w:ascii="Rubik" w:hAnsi="Rubik"/>
          <w:color w:val="000000" w:themeColor="text1"/>
          <w:sz w:val="22"/>
        </w:rPr>
        <w:t xml:space="preserve"> employment). However, “employment” was operationalised using a range of different definitions and timeframes. Almost all studies reported the proportion of participants in open employment (25/26), albeit most at different timepoints and using different measures. Four studies reported point prevalence, 19 studies reported period prevalence and 2 studies reported both point and period prevalence. </w:t>
      </w:r>
    </w:p>
    <w:p w14:paraId="424E4765" w14:textId="5846972B"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studies by Twamley 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{"citationID":"qjlVyXtE","properties":{"formattedCitation":"\\super 19\\nosupersub{}","plainCitation":"19","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19</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McGurk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{"citationID":"a2SQyPWu","properties":{"formattedCitation":"\\super 41\\nosupersub{}","plainCitation":"41","noteIndex":0},"citationItems":[{"id":109074,"uris":["http://zotero.org/users/5729315/items/GFEDKDKW"],"uri":["http://zotero.org/users/5729315/items/GFEDKDKW"],"itemData":{"id":109074,"type":"article-journal","abstract":"OBJECTIVE: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41</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also reported the proportion of participants in any paid employment during 0-12 and 0-24 months from baseline, respectively. Bond 2015</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{"citationID":"q6U71Fiy","properties":{"formattedCitation":"\\super 16\\nosupersub{}","plainCitation":"16","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16</w:t>
      </w:r>
      <w:r w:rsidRPr="00584BCB">
        <w:rPr>
          <w:rFonts w:ascii="Rubik" w:hAnsi="Rubik"/>
          <w:color w:val="000000" w:themeColor="text1"/>
          <w:sz w:val="22"/>
        </w:rPr>
        <w:fldChar w:fldCharType="end"/>
      </w:r>
      <w:r w:rsidRPr="00584BCB">
        <w:rPr>
          <w:rFonts w:ascii="Rubik" w:hAnsi="Rubik"/>
          <w:color w:val="000000" w:themeColor="text1"/>
          <w:sz w:val="22"/>
        </w:rPr>
        <w:t xml:space="preserve"> and Hoffman 2014 </w:t>
      </w:r>
      <w:r w:rsidR="00E825DE" w:rsidRPr="00584BCB">
        <w:rPr>
          <w:rFonts w:ascii="Rubik" w:hAnsi="Rubik"/>
          <w:color w:val="000000" w:themeColor="text1"/>
          <w:sz w:val="22"/>
        </w:rPr>
        <w:t>and</w:t>
      </w:r>
      <w:r w:rsidRPr="00584BCB">
        <w:rPr>
          <w:rFonts w:ascii="Rubik" w:hAnsi="Rubik"/>
          <w:color w:val="000000" w:themeColor="text1"/>
          <w:sz w:val="22"/>
        </w:rPr>
        <w:t xml:space="preserve"> 2017</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{"citationID":"OYTO2NGl","properties":{"formattedCitation":"\\super 35,36\\nosupersub{}","plainCitation":"35,36","noteIndex":0},"citationItems":[{"id":109104,"uris":["http://zotero.org/users/5729315/items/M3RIRUR8"],"uri":["http://zotero.org/users/5729315/items/M3RIRUR8"],"itemData":{"id":109104,"type":"article-journal","abstract":"OBJECTIVE: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label":"page"},{"id":109110,"uris":["http://zotero.org/users/5729315/items/S5IGZXKT"],"uri":["http://zotero.org/users/5729315/items/S5IGZXKT"],"itemData":{"id":109110,"type":"article-journal","abstract":"Hoffmann H, Jäckel D, Glauser S, Kupper Z. A randomised controlled trial of the efficacy of supported employment. Objective: Although numerous randomised controlled trials indicated the superiority of supported employment (SE), we still have too little evidence that SE is more effective than traditional vocational rehabilitation programmes (TVR) in Western European countries with highly developed social security and welfare systems, sophisticated rehabilitation programmes and high thresholds to the open labour market. The aim of this study is to prove the efficacy of SE in Switzerland. Method: Following a 2-week intake assessment, 100 unemployed persons with stabilised severe mental illness (SMI) were randomly assigned to either the SE programme (n = 46) or to the most viable locally available TVR (n = 54). Follow-up lasted 24 months. Results: After the first year, the rate of competitive employment reached a mean level of 48.2% in the SE group and of 18.5% in the TVR group. 58.7% of the SE group were ever competitively employed as opposed to 25.9% of the TVR group. In the second year, SE group participants were competitively employed for 24.5 weeks as compared with 10.2 in the TVR group. The groups showed no significant differences in the non-vocational outcome criteria. Conclusion: The SE programme in Switzerland also proved more effective than TVR and seems to be applicable to the socio-economic context of Western European countries.","container-title":"Acta Psychiatrica Scandinavica","DOI":"https://doi.org/10.1111/j.1600-0447.2011.01780.x","ISSN":"1600-0447","issue":"2","language":"en","note":"_eprint: https://onlinelibrary.wiley.com/doi/pdf/10.1111/j.1600-0447.2011.01780.x","page":"157-167","source":"Wiley Online Library","title":"A randomised controlled trial of the efficacy of supported employment","volume":"125","author":[{"family":"Hoffmann","given":"H."},{"family":"Jäckel","given":"D."},{"family":"Glauser","given":"S."},{"family":"Kupper","given":"Z."}],"issued":{"date-parts":[["2012"]]}},"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35,36</w:t>
      </w:r>
      <w:r w:rsidRPr="00584BCB">
        <w:rPr>
          <w:rFonts w:ascii="Rubik" w:hAnsi="Rubik"/>
          <w:color w:val="000000" w:themeColor="text1"/>
          <w:sz w:val="22"/>
        </w:rPr>
        <w:fldChar w:fldCharType="end"/>
      </w:r>
      <w:r w:rsidRPr="00584BCB">
        <w:rPr>
          <w:rFonts w:ascii="Rubik" w:hAnsi="Rubik"/>
          <w:color w:val="000000" w:themeColor="text1"/>
          <w:sz w:val="22"/>
        </w:rPr>
        <w:t xml:space="preserve"> reported </w:t>
      </w:r>
      <w:r w:rsidR="005A4F22" w:rsidRPr="00584BCB">
        <w:rPr>
          <w:rFonts w:ascii="Rubik" w:hAnsi="Rubik"/>
          <w:color w:val="000000" w:themeColor="text1"/>
          <w:sz w:val="22"/>
        </w:rPr>
        <w:t>supported</w:t>
      </w:r>
      <w:r w:rsidRPr="00584BCB">
        <w:rPr>
          <w:rFonts w:ascii="Rubik" w:hAnsi="Rubik"/>
          <w:color w:val="000000" w:themeColor="text1"/>
          <w:sz w:val="22"/>
        </w:rPr>
        <w:t xml:space="preserve"> employment at the 12-month and 24-month timepoints respectively. Oshima 2014 reported </w:t>
      </w:r>
      <w:r w:rsidR="005A4F22" w:rsidRPr="00584BCB">
        <w:rPr>
          <w:rFonts w:ascii="Rubik" w:hAnsi="Rubik"/>
          <w:color w:val="000000" w:themeColor="text1"/>
          <w:sz w:val="22"/>
        </w:rPr>
        <w:t>supported</w:t>
      </w:r>
      <w:r w:rsidRPr="00584BCB">
        <w:rPr>
          <w:rFonts w:ascii="Rubik" w:hAnsi="Rubik"/>
          <w:color w:val="000000" w:themeColor="text1"/>
          <w:sz w:val="22"/>
        </w:rPr>
        <w:t xml:space="preserve"> employment for the 6-month period of the intervention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{"citationID":"yVrp2fbV","properties":{"formattedCitation":"\\super 29\\nosupersub{}","plainCitation":"29","noteIndex":0},"citationItems":[{"id":109079,"uris":["http://zotero.org/users/5729315/items/JADYDV9W"],"uri":["http://zotero.org/users/5729315/items/JADYDV9W"],"itemData":{"id":109079,"type":"article-journal","abstract":"OBJECTIVE: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29</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Davis 2018 was the only included study that did not report open employment; rather, the authors reported the paid employment rate from end of intervention to 30 days post-intervention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{"citationID":"ChUHdyNb","properties":{"formattedCitation":"\\super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24</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5015C2B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majority of studies reported employment outcomes at the end of intervention (n=19) at 4.5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{"citationID":"XnhmIvKU","properties":{"formattedCitation":"\\super 15\\nosupersub{}","plainCitation":"15","noteIndex":0},"citationItems":[{"id":109068,"uris":["http://zotero.org/users/5729315/items/A4WZ74IE"],"uri":["http://zotero.org/users/5729315/items/A4WZ74IE"],"itemData":{"id":109068,"type":"article-journal","abstract":"Objective: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15</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6 </w:t>
      </w:r>
      <w:r w:rsidRPr="00584BCB">
        <w:rPr>
          <w:rFonts w:ascii="Rubik" w:hAnsi="Rubik"/>
          <w:color w:val="000000" w:themeColor="text1"/>
          <w:sz w:val="22"/>
        </w:rPr>
        <w:lastRenderedPageBreak/>
        <w:t>months from baseline</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{"citationID":"ekagJ60H","properties":{"formattedCitation":"\\super 20,41\\nosupersub{}","plainCitation":"20,41","noteIndex":0},"citationItems":[{"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20,41</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9 months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{"citationID":"6R8JYH0r","properties":{"formattedCitation":"\\super 31\\uc0\\u8211{}33\\nosupersub{}","plainCitation":"31–33","noteIndex":0},"citationItems":[{"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per hour. Furthermore, 87% of those individuals maintained employment at 12</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months post-graduation. The control group’s employment outcomes were 6% acquiring employment by 3</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months post-graduation and 12% acquiring employment by 12</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9) for a mean hourly wage of $9.61 per hour (SD</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w:instrText>
      </w:r>
      <w:r w:rsidRPr="00584BCB">
        <w:rPr>
          <w:rFonts w:ascii="Times New Roman" w:hAnsi="Times New Roman" w:cs="Times New Roman"/>
          <w:color w:val="000000" w:themeColor="text1"/>
          <w:sz w:val="22"/>
        </w:rPr>
        <w:instrText> </w:instrText>
      </w:r>
      <w:r w:rsidRPr="00584BCB">
        <w:rPr>
          <w:rFonts w:ascii="Rubik" w:hAnsi="Rubik"/>
          <w:color w:val="000000" w:themeColor="text1"/>
          <w:sz w:val="22"/>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label":"page"},{"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31–33</w:t>
      </w:r>
      <w:r w:rsidRPr="00584BCB">
        <w:rPr>
          <w:rFonts w:ascii="Rubik" w:hAnsi="Rubik"/>
          <w:color w:val="000000" w:themeColor="text1"/>
          <w:sz w:val="22"/>
        </w:rPr>
        <w:fldChar w:fldCharType="end"/>
      </w:r>
      <w:r w:rsidRPr="00584BCB">
        <w:rPr>
          <w:rFonts w:ascii="Rubik" w:hAnsi="Rubik"/>
          <w:color w:val="000000" w:themeColor="text1"/>
          <w:sz w:val="22"/>
        </w:rPr>
        <w:t>, 12 months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{"citationID":"BusZ4vci","properties":{"formattedCitation":"\\super 16,19,21\\uc0\\u8211{}23,38,42\\nosupersub{}","plainCitation":"16,19,21–23,38,42","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rPr>
        <w:instrText>χ</w:instrText>
      </w:r>
      <w:r w:rsidRPr="00584BCB">
        <w:rPr>
          <w:rFonts w:ascii="Rubik" w:hAnsi="Rubik"/>
          <w:color w:val="000000" w:themeColor="text1"/>
          <w:sz w:val="22"/>
        </w:rPr>
        <w:instrText>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E."}],"issued":{"date-parts":[["2012",5,1]]}},"label":"page"},{"id":109060,"uris":["http://zotero.org/users/5729315/items/3BJ5EDKM"],"uri":["http://zotero.org/users/5729315/items/3BJ5EDKM"],"itemData":{"id":109060,"type":"article-journal","abstract":"Objective:Employment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L."}],"issued":{"date-parts":[["2015",6,1]]}},"label":"page"},{"id":109090,"uris":["http://zotero.org/users/5729315/items/Y7UXXWJB"],"uri":["http://zotero.org/users/5729315/items/Y7UXXWJB"],"itemData":{"id":109090,"type":"article-journal","abstract":"BACKGROUND/AIM: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systems.\nMETHODS: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area.\nRESULTS: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study.\nCONCLUSION: The results support previous international findings that IPS-supported employment is more effective than non-integrated supported employment. IPS can be successfully implemented this way in Australia, but with a loss of effect strength compared to previous USA trials.","container-title":"Australian Occupational Therapy Journal","DOI":"10.1111/1440-1630.12148","ISSN":"1440-1630","issue":"6","journalAbbreviation":"Aust Occup Ther J","language":"eng","note":"PMID: 25284162","page":"424-436","source":"PubMed","title":"A multi-site randomised controlled trial of evidence-based supported employment for adults with severe and persistent mental illness","volume":"61","author":[{"family":"Waghorn","given":"Geoffrey"},{"family":"Dias","given":"Shannon"},{"family":"Gladman","given":"Beverley"},{"family":"Harris","given":"Meredith"},{"family":"Saha","given":"Sukanta"}],"issued":{"date-parts":[["2014",12]]}},"label":"page"},{"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sz w:val="22"/>
        </w:rPr>
        <w:instrText>Β</w:instrText>
      </w:r>
      <w:r w:rsidRPr="00584BCB">
        <w:rPr>
          <w:rFonts w:ascii="Rubik" w:hAnsi="Rubik"/>
          <w:color w:val="000000" w:themeColor="text1"/>
          <w:sz w:val="22"/>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16,19,21–</w:t>
      </w:r>
      <w:r w:rsidRPr="00584BCB">
        <w:rPr>
          <w:rFonts w:ascii="Rubik" w:hAnsi="Rubik"/>
          <w:color w:val="000000" w:themeColor="text1"/>
          <w:sz w:val="22"/>
        </w:rPr>
        <w:t>23,38,42</w:t>
      </w:r>
      <w:r w:rsidRPr="00584BCB">
        <w:rPr>
          <w:rFonts w:ascii="Rubik" w:hAnsi="Rubik"/>
          <w:color w:val="000000" w:themeColor="text1"/>
          <w:sz w:val="22"/>
        </w:rPr>
        <w:fldChar w:fldCharType="end"/>
      </w:r>
      <w:r w:rsidRPr="00584BCB">
        <w:rPr>
          <w:rFonts w:ascii="Rubik" w:hAnsi="Rubik"/>
          <w:color w:val="000000" w:themeColor="text1"/>
          <w:sz w:val="22"/>
        </w:rPr>
        <w:t>, 15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{"citationID":"lsVcWUug","properties":{"formattedCitation":"\\super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18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{"citationID":"MKeYjI8P","properties":{"formattedCitation":"\\super 18,27\\nosupersub{}","plainCitation":"18,27","noteIndex":0},"citationItems":[{"id":109102,"uris":["http://zotero.org/users/5729315/items/SKYUIYYT"],"uri":["http://zotero.org/users/5729315/items/SKYUIYYT"],"itemData":{"id":109102,"type":"article-journal","abstract":"BACKGROUND: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P."}],"issued":{"date-parts":[["2020"]]}},"label":"page"},{"id":109044,"uris":["http://zotero.org/users/5729315/items/VL6UW8R3"],"uri":["http://zotero.org/users/5729315/items/VL6UW8R3"],"itemData":{"id":109044,"type":"article-journal","abstract":"BACKGROUND: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18,27</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24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{"citationID":"C1HsR49g","properties":{"formattedCitation":"\\super 28\\nosupersub{}","plainCitation":"28","noteIndex":0},"citationItems":[{"id":109076,"uris":["http://zotero.org/users/5729315/items/EQ2U669A"],"uri":["http://zotero.org/users/5729315/items/EQ2U669A"],"itemData":{"id":109076,"type":"article-journal","abstract":"Studies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28</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27 months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{"citationID":"grto7OTf","properties":{"formattedCitation":"\\super 39\\nosupersub{}","plainCitation":"39","noteIndex":0},"citationItems":[{"id":109063,"uris":["http://zotero.org/users/5729315/items/6JCF7KY9"],"uri":["http://zotero.org/users/5729315/items/6JCF7KY9"],"itemData":{"id":109063,"type":"article-journal","abstract":"Individual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39</w:t>
      </w:r>
      <w:r w:rsidRPr="00584BCB">
        <w:rPr>
          <w:rFonts w:ascii="Rubik" w:hAnsi="Rubik"/>
          <w:color w:val="000000" w:themeColor="text1"/>
          <w:sz w:val="22"/>
        </w:rPr>
        <w:fldChar w:fldCharType="end"/>
      </w:r>
      <w:r w:rsidRPr="00584BCB">
        <w:rPr>
          <w:rFonts w:ascii="Rubik" w:hAnsi="Rubik"/>
          <w:color w:val="000000" w:themeColor="text1"/>
          <w:sz w:val="22"/>
        </w:rPr>
        <w:t>, 39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{"citationID":"Ao68ragi","properties":{"formattedCitation":"\\super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5 years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{"citationID":"U381P6bM","properties":{"formattedCitation":"\\super 35\\nosupersub{}","plainCitation":"35","noteIndex":0},"citationItems":[{"id":109104,"uris":["http://zotero.org/users/5729315/items/M3RIRUR8"],"uri":["http://zotero.org/users/5729315/items/M3RIRUR8"],"itemData":{"id":109104,"type":"article-journal","abstract":"OBJECTIVE: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Nuechterlein et al. reported employment data for the initial 6 months of intensive intervention and for an additional 12 months of less intensive treatment</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{"citationID":"79X3qVO5","properties":{"formattedCitation":"\\super 18\\nosupersub{}","plainCitation":"18","noteIndex":0},"citationItems":[{"id":109102,"uris":["http://zotero.org/users/5729315/items/SKYUIYYT"],"uri":["http://zotero.org/users/5729315/items/SKYUIYYT"],"itemData":{"id":109102,"type":"article-journal","abstract":"BACKGROUND: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18</w:t>
      </w:r>
      <w:r w:rsidRPr="00584BCB">
        <w:rPr>
          <w:rFonts w:ascii="Rubik" w:hAnsi="Rubik"/>
          <w:color w:val="000000" w:themeColor="text1"/>
          <w:sz w:val="22"/>
        </w:rPr>
        <w:fldChar w:fldCharType="end"/>
      </w:r>
      <w:r w:rsidRPr="00584BCB">
        <w:rPr>
          <w:rFonts w:ascii="Rubik" w:hAnsi="Rubik"/>
          <w:color w:val="000000" w:themeColor="text1"/>
          <w:sz w:val="22"/>
        </w:rPr>
        <w:t>. Hence, we report data for both time points. Poremski et al. provided employment data for the entire intervention period with IPS fidelity ranging from ‘not IPS’ to ‘good fidelity’, and for the last 8 months of the study with good fidelity</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{"citationID":"fI2hu3bC","properties":{"formattedCitation":"\\super 39\\nosupersub{}","plainCitation":"39","noteIndex":0},"citationItems":[{"id":109063,"uris":["http://zotero.org/users/5729315/items/6JCF7KY9"],"uri":["http://zotero.org/users/5729315/items/6JCF7KY9"],"itemData":{"id":109063,"type":"article-journal","abstract":"Individual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39</w:t>
      </w:r>
      <w:r w:rsidRPr="00584BCB">
        <w:rPr>
          <w:rFonts w:ascii="Rubik" w:hAnsi="Rubik"/>
          <w:color w:val="000000" w:themeColor="text1"/>
          <w:sz w:val="22"/>
        </w:rPr>
        <w:fldChar w:fldCharType="end"/>
      </w:r>
      <w:r w:rsidRPr="00584BCB">
        <w:rPr>
          <w:rFonts w:ascii="Rubik" w:hAnsi="Rubik"/>
          <w:color w:val="000000" w:themeColor="text1"/>
          <w:sz w:val="22"/>
        </w:rPr>
        <w:t>. Hence, we synthesised data from the last 8 months, rather than the entire intervention. In the study conducted by Tsang et al., the traditional vocational rehabilitation condition ended at 15 months while the Individual Placement and Support and Integrated Supported Employment conditions ended at 39 months</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{"citationID":"5CTpVRUl","properties":{"formattedCitation":"\\super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rPr>
        <w:fldChar w:fldCharType="end"/>
      </w:r>
      <w:r w:rsidRPr="00584BCB">
        <w:rPr>
          <w:rFonts w:ascii="Rubik" w:hAnsi="Rubik"/>
          <w:color w:val="000000" w:themeColor="text1"/>
          <w:sz w:val="22"/>
        </w:rPr>
        <w:t>. The Whittenburg et al. study provides preliminary findings from the first year of a three-year study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{"citationID":"Zof2O2s6","properties":{"formattedCitation":"\\super 33\\nosupersub{}","plainCitation":"33","noteIndex":0},"citationItems":[{"id":109052,"uris":["http://zotero.org/users/5729315/items/7ANZW874"],"uri":["http://zotero.org/users/5729315/items/7ANZW874"],"itemData":{"id":109052,"type":"article-journal","abstract":"Introduction: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33</w:t>
      </w:r>
      <w:r w:rsidRPr="00584BCB">
        <w:rPr>
          <w:rFonts w:ascii="Rubik" w:hAnsi="Rubik"/>
          <w:color w:val="000000" w:themeColor="text1"/>
          <w:sz w:val="22"/>
          <w:vertAlign w:val="superscript"/>
        </w:rPr>
        <w:fldChar w:fldCharType="end"/>
      </w:r>
      <w:r w:rsidRPr="00584BCB">
        <w:rPr>
          <w:rFonts w:ascii="Rubik" w:hAnsi="Rubik"/>
          <w:color w:val="000000" w:themeColor="text1"/>
          <w:sz w:val="22"/>
        </w:rPr>
        <w:t>.</w:t>
      </w:r>
    </w:p>
    <w:p w14:paraId="6DDC865A" w14:textId="77777777" w:rsidR="00BD1825" w:rsidRPr="00584BCB" w:rsidRDefault="00BD1825" w:rsidP="00BD1825">
      <w:pPr>
        <w:rPr>
          <w:rFonts w:ascii="Rubik" w:hAnsi="Rubik"/>
          <w:color w:val="000000" w:themeColor="text1"/>
          <w:sz w:val="22"/>
          <w:vertAlign w:val="superscript"/>
        </w:rPr>
      </w:pPr>
      <w:r w:rsidRPr="00584BCB">
        <w:rPr>
          <w:rFonts w:ascii="Rubik" w:hAnsi="Rubik"/>
          <w:color w:val="000000" w:themeColor="text1"/>
          <w:sz w:val="22"/>
        </w:rPr>
        <w:t>The studies conducted by Bond et al. and Michon et al. placed no limits on the duration of the interventions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{"citationID":"oQNEAGpL","properties":{"formattedCitation":"\\super 16,26\\nosupersub{}","plainCitation":"16,26","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16,26</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We therefore reported data from the most recent follow-up timepoints at 12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{"citationID":"0SKmNKeR","properties":{"formattedCitation":"\\super 16\\nosupersub{}","plainCitation":"16","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16</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30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{"citationID":"liKj5vpP","properties":{"formattedCitation":"\\super 26\\nosupersub{}","plainCitation":"26","noteIndex":0},"citationItems":[{"id":109088,"uris":["http://zotero.org/users/5729315/items/N6NSCE65"],"uri":["http://zotero.org/users/5729315/items/N6NSCE65"],"itemData":{"id":109088,"type":"article-journal","container-title":"Psychiatric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26</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from baseline, respectively. The duration of the intervention was unclear in the studies by Oshima et al. and Schneider et al., but data were collected at 6 months and 12 month from baseline respectively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{"citationID":"FcWHLBkn","properties":{"formattedCitation":"\\super 29,37\\nosupersub{}","plainCitation":"29,37","noteIndex":0},"citationItems":[{"id":109079,"uris":["http://zotero.org/users/5729315/items/JADYDV9W"],"uri":["http://zotero.org/users/5729315/items/JADYDV9W"],"itemData":{"id":109079,"type":"article-journal","abstract":"OBJECTIVE: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29,37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p>
    <w:p w14:paraId="401B25A7" w14:textId="5CAEF049" w:rsidR="00BD1825" w:rsidRPr="00584BCB" w:rsidRDefault="00BD1825" w:rsidP="00BD1825">
      <w:pPr>
        <w:rPr>
          <w:rFonts w:ascii="Rubik" w:hAnsi="Rubik"/>
          <w:color w:val="000000" w:themeColor="text1"/>
          <w:sz w:val="22"/>
        </w:rPr>
      </w:pPr>
      <w:r w:rsidRPr="00584BCB">
        <w:rPr>
          <w:rFonts w:ascii="Rubik" w:hAnsi="Rubik"/>
          <w:color w:val="000000" w:themeColor="text1"/>
          <w:sz w:val="22"/>
        </w:rPr>
        <w:t>Four studies did not collect data immediately post-intervention. One study reported employment outcomes at 1 month post-intervention</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{"citationID":"3kLYw3fv","properties":{"formattedCitation":"\\super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24</w:t>
      </w:r>
      <w:r w:rsidRPr="00584BCB">
        <w:rPr>
          <w:rFonts w:ascii="Rubik" w:hAnsi="Rubik"/>
          <w:color w:val="000000" w:themeColor="text1"/>
          <w:sz w:val="22"/>
        </w:rPr>
        <w:fldChar w:fldCharType="end"/>
      </w:r>
      <w:r w:rsidRPr="00584BCB">
        <w:rPr>
          <w:rFonts w:ascii="Rubik" w:hAnsi="Rubik"/>
          <w:color w:val="000000" w:themeColor="text1"/>
          <w:sz w:val="22"/>
        </w:rPr>
        <w:t>, and two studies at 6 months post-intervention</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{"citationID":"PIbUBNAZ","properties":{"formattedCitation":"\\super 17,34\\nosupersub{}","plainCitation":"17,34","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D."}],"issued":{"date-parts":[["2015",8,1]]}},"label":"page"},{"id":109083,"uris":["http://zotero.org/users/5729315/items/7YA6NIN4"],"uri":["http://zotero.org/users/5729315/items/7YA6NIN4"],"itemData":{"id":109083,"type":"article-journal","container-title":"Psychiatric Services","DOI":"10.1176/appi.ps.201400504","ISSN":"1075-2730","issue":"11","journalAbbreviation":"Psychiatric services (Washington, D.C.)","language":"English (US)","note":"publisher: American Psychiatric Association\nPMID: 26130002","page":"1173-1179","source":"www.scholars.northwestern.edu","title":"Job offers to individuals with severe mental illness after participation in virtual reality job interview training","volume":"66","author":[{"family":"Smith","given":"Matthew J."},{"family":"Fleming","given":"Michael F."},{"family":"Wright","given":"Michael A."},{"family":"Jordan","given":"Neil"},{"family":"Humm","given":"Laura Boteler"},{"family":"Olsen","given":"Dale"},{"family":"Bell","given":"Morris D."}],"issued":{"date-parts":[["2015",11,1]]}},"label":"page"}],"schema":"https://github.com/citation-style-language/schema/raw/master/csl-citation.json"}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vertAlign w:val="superscript"/>
        </w:rPr>
        <w:t>17,34</w:t>
      </w:r>
      <w:r w:rsidRPr="00584BCB">
        <w:rPr>
          <w:rFonts w:ascii="Rubik" w:hAnsi="Rubik"/>
          <w:color w:val="000000" w:themeColor="text1"/>
          <w:sz w:val="22"/>
        </w:rPr>
        <w:fldChar w:fldCharType="end"/>
      </w:r>
      <w:r w:rsidRPr="00584BCB">
        <w:rPr>
          <w:rFonts w:ascii="Rubik" w:hAnsi="Rubik"/>
          <w:color w:val="000000" w:themeColor="text1"/>
          <w:sz w:val="22"/>
        </w:rPr>
        <w:t>. In the study by Lecomte et al., the duration of the CBT-</w:t>
      </w:r>
      <w:r w:rsidR="00776870" w:rsidRPr="00584BCB">
        <w:rPr>
          <w:rFonts w:ascii="Rubik" w:hAnsi="Rubik"/>
          <w:color w:val="000000" w:themeColor="text1"/>
          <w:sz w:val="22"/>
        </w:rPr>
        <w:t>vocational</w:t>
      </w:r>
      <w:r w:rsidRPr="00584BCB">
        <w:rPr>
          <w:rFonts w:ascii="Rubik" w:hAnsi="Rubik"/>
          <w:color w:val="000000" w:themeColor="text1"/>
          <w:sz w:val="22"/>
        </w:rPr>
        <w:t xml:space="preserve"> intervention was 1 month but the </w:t>
      </w:r>
      <w:r w:rsidRPr="00584BCB">
        <w:rPr>
          <w:rFonts w:ascii="Rubik" w:hAnsi="Rubik"/>
          <w:color w:val="000000" w:themeColor="text1"/>
          <w:sz w:val="22"/>
        </w:rPr>
        <w:t>supported employment continued for 12 months for both groups, and employment status was reported at 12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{"citationID":"CTtGg540","properties":{"formattedCitation":"\\super 43\\nosupersub{}","plainCitation":"43","noteIndex":0},"citationItems":[{"id":109073,"uris":["http://zotero.org/users/5729315/items/GGEWF2UJ"],"uri":["http://zotero.org/users/5729315/items/GGEWF2UJ"],"itemData":{"id":109073,"type":"article-journal","abstract":"The merging of evidence-based interventions with supported employment programs are being increasingly studied, with encouraging results. The current study is aimed at determining the impact of a brief cognitive behaviour therapy group intervention adapted for supported employment programs (called CBT-SE) on the work outcomes of: obtaining a competitive job, number of weeks worked, and number of hours worked per week. Participants were randomized to either receive the 8-session CBT-SE group on top of their supported employment program, or to only receive their support employment program. The results show that those who received CBT-SE were significantly more likely to obtain a job (75% vs 58%), and worked a significantly greater number of hours (24 vs 18</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hours per week). No differences were found in terms of number of weeks worked. Those in the CBT-SE condition also experienced a significant decrease in their negative symptoms over time, compared to the control condition. Although replication is needed, these results suggest that a brief cognitive-behavioural intervention specifically tailored to work-related issues can be greatly beneficial.","container-title":"Schizophrenia Research","DOI":"10.1016/j.schres.2019.10.063","ISSN":"0920-9964","journalAbbreviation":"Schizophrenia Research","language":"en","page":"126-133","source":"ScienceDirect","title":"Group cognitive behaviour therapy for supported employment – Results of a randomized controlled cohort trial","volume":"215","author":[{"family":"Lecomte","given":"Tania"},{"family":"Corbière","given":"Marc"},{"family":"Giguère","given":"Charles-Edouard"},{"family":"Titone","given":"Debra"},{"family":"Lysaker","given":"Paul"}],"issued":{"date-parts":[["2020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43</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6C80545A" w14:textId="1AC36BE1" w:rsidR="00BD1825" w:rsidRPr="00584BCB" w:rsidRDefault="00BD1825" w:rsidP="00BD1825">
      <w:pPr>
        <w:rPr>
          <w:rFonts w:ascii="Rubik" w:hAnsi="Rubik"/>
          <w:color w:val="000000" w:themeColor="text1"/>
          <w:sz w:val="22"/>
        </w:rPr>
      </w:pPr>
      <w:r w:rsidRPr="00584BCB">
        <w:rPr>
          <w:rFonts w:ascii="Rubik" w:hAnsi="Rubik"/>
          <w:color w:val="000000" w:themeColor="text1"/>
          <w:sz w:val="22"/>
        </w:rPr>
        <w:t>Only McGurk et al. reported employment data for our secondary timepoint of interest – a timepoint closest to, but longer than, 12 months post-intervention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{"citationID":"pzW2nycA","properties":{"formattedCitation":"\\super 41\\nosupersub{}","plainCitation":"41","noteIndex":0},"citationItems":[{"id":109074,"uris":["http://zotero.org/users/5729315/items/GFEDKDKW"],"uri":["http://zotero.org/users/5729315/items/GFEDKDKW"],"itemData":{"id":109074,"type":"article-journal","abstract":"OBJECTIVE: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41</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The duration of the cognitive enhancement intervention was 6 months but participants in both conditions received </w:t>
      </w:r>
      <w:r w:rsidR="00F91364" w:rsidRPr="00584BCB">
        <w:rPr>
          <w:rFonts w:ascii="Rubik" w:hAnsi="Rubik"/>
          <w:color w:val="000000" w:themeColor="text1"/>
          <w:sz w:val="22"/>
        </w:rPr>
        <w:t>vocational</w:t>
      </w:r>
      <w:r w:rsidRPr="00584BCB">
        <w:rPr>
          <w:rFonts w:ascii="Rubik" w:hAnsi="Rubik"/>
          <w:color w:val="000000" w:themeColor="text1"/>
          <w:sz w:val="22"/>
        </w:rPr>
        <w:t xml:space="preserve"> </w:t>
      </w:r>
      <w:r w:rsidR="00F91364" w:rsidRPr="00584BCB">
        <w:rPr>
          <w:rFonts w:ascii="Rubik" w:hAnsi="Rubik"/>
          <w:color w:val="000000" w:themeColor="text1"/>
          <w:sz w:val="22"/>
        </w:rPr>
        <w:t>support</w:t>
      </w:r>
      <w:r w:rsidRPr="00584BCB">
        <w:rPr>
          <w:rFonts w:ascii="Rubik" w:hAnsi="Rubik"/>
          <w:color w:val="000000" w:themeColor="text1"/>
          <w:sz w:val="22"/>
        </w:rPr>
        <w:t xml:space="preserve"> for 2 years, and employment data is provided at 18 months postintervention. </w:t>
      </w:r>
    </w:p>
    <w:p w14:paraId="00F038E5" w14:textId="77777777" w:rsidR="002B0C72" w:rsidRPr="00584BCB" w:rsidRDefault="002B0C72" w:rsidP="002B0C72">
      <w:pPr>
        <w:pStyle w:val="PlainParagraph"/>
        <w:spacing w:before="200"/>
        <w:ind w:left="0"/>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Outcome definition</w:t>
      </w:r>
    </w:p>
    <w:p w14:paraId="7B333DC9" w14:textId="6832D3B2" w:rsidR="00BD1825" w:rsidRPr="00584BCB" w:rsidRDefault="00BD1825" w:rsidP="002B0C72">
      <w:pPr>
        <w:pStyle w:val="PlainParagraph"/>
        <w:spacing w:before="200"/>
        <w:ind w:left="0"/>
        <w:rPr>
          <w:color w:val="000000" w:themeColor="text1"/>
          <w:lang w:eastAsia="en-US"/>
        </w:rPr>
      </w:pPr>
      <w:r w:rsidRPr="00584BCB">
        <w:rPr>
          <w:rFonts w:ascii="Rubik" w:hAnsi="Rubik"/>
          <w:color w:val="000000" w:themeColor="text1"/>
        </w:rPr>
        <w:t>The majority of studies defined open employment as work that paid at least minimum wage that was located in mainstream settings and open to applicants from the general public. Three studies operationalised competitive employment as accepted job offers</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{"citationID":"2ZXzkHG5","properties":{"formattedCitation":"\\super 17,33,34\\nosupersub{}","plainCitation":"17,33,34","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D."}],"issued":{"date-parts":[["2015",8,1]]}},"label":"page"},{"id":109052,"uris":["http://zotero.org/users/5729315/items/7ANZW874"],"uri":["http://zotero.org/users/5729315/items/7ANZW874"],"itemData":{"id":109052,"type":"article-journal","abstract":"Introduction: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label":"page"},{"id":109083,"uris":["http://zotero.org/users/5729315/items/7YA6NIN4"],"uri":["http://zotero.org/users/5729315/items/7YA6NIN4"],"itemData":{"id":109083,"type":"article-journal","container-title":"Psychiatric Services","DOI":"10.1176/appi.ps.201400504","ISSN":"1075-2730","issue":"11","journalAbbreviation":"Psychiatric services (Washington, D.C.)","language":"English (US)","note":"publisher: American Psychiatric Association\nPMID: 26130002","page":"1173-1179","source":"www.scholars.northwestern.edu","title":"Job offers to individuals with severe mental illness after participation in virtual reality job interview training","volume":"66","author":[{"family":"Smith","given":"Matthew J."},{"family":"Fleming","given":"Michael F."},{"family":"Wright","given":"Michael A."},{"family":"Jordan","given":"Neil"},{"family":"Humm","given":"Laura Boteler"},{"family":"Olsen","given":"Dale"},{"family":"Bell","given":"Morris D."}],"issued":{"date-parts":[["2015",11,1]]}},"label":"page"}],"schema":"https://github.com/citation-style-language/schema/raw/master/csl-citation.json"}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17,33,34</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 xml:space="preserve"> </w:t>
      </w:r>
      <w:r w:rsidRPr="00584BCB">
        <w:rPr>
          <w:rFonts w:ascii="Rubik" w:hAnsi="Rubik"/>
          <w:color w:val="000000" w:themeColor="text1"/>
        </w:rPr>
        <w:t>while other studies defined open employment as accepted job offers and actively working at that job</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{"citationID":"yeM8CEUv","properties":{"formattedCitation":"\\super 18\\nosupersub{}","plainCitation":"18","noteIndex":0},"citationItems":[{"id":109102,"uris":["http://zotero.org/users/5729315/items/SKYUIYYT"],"uri":["http://zotero.org/users/5729315/items/SKYUIYYT"],"itemData":{"id":109102,"type":"article-journal","abstract":"BACKGROUND: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18</w:t>
      </w:r>
      <w:r w:rsidRPr="00584BCB">
        <w:rPr>
          <w:rFonts w:ascii="Rubik" w:hAnsi="Rubik"/>
          <w:color w:val="000000" w:themeColor="text1"/>
          <w:vertAlign w:val="superscript"/>
        </w:rPr>
        <w:fldChar w:fldCharType="end"/>
      </w:r>
      <w:r w:rsidRPr="00584BCB">
        <w:rPr>
          <w:rFonts w:ascii="Rubik" w:hAnsi="Rubik"/>
          <w:color w:val="000000" w:themeColor="text1"/>
        </w:rPr>
        <w:t>, working for at least one hours</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{"citationID":"JzbFpdes","properties":{"formattedCitation":"\\super 37\\nosupersub{}","plainCitation":"37","noteIndex":0},"citationItems":[{"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37</w:t>
      </w:r>
      <w:r w:rsidRPr="00584BCB">
        <w:rPr>
          <w:rFonts w:ascii="Rubik" w:hAnsi="Rubik"/>
          <w:color w:val="000000" w:themeColor="text1"/>
          <w:vertAlign w:val="superscript"/>
        </w:rPr>
        <w:fldChar w:fldCharType="end"/>
      </w:r>
      <w:r w:rsidRPr="00584BCB">
        <w:rPr>
          <w:rFonts w:ascii="Rubik" w:hAnsi="Rubik"/>
          <w:color w:val="000000" w:themeColor="text1"/>
        </w:rPr>
        <w:t>, five or more work hours per week</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{"citationID":"EqwhGjYS","properties":{"formattedCitation":"\\super 29\\nosupersub{}","plainCitation":"29","noteIndex":0},"citationItems":[{"id":109079,"uris":["http://zotero.org/users/5729315/items/JADYDV9W"],"uri":["http://zotero.org/users/5729315/items/JADYDV9W"],"itemData":{"id":109079,"type":"article-journal","abstract":"OBJECTIVE: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29</w:t>
      </w:r>
      <w:r w:rsidRPr="00584BCB">
        <w:rPr>
          <w:rFonts w:ascii="Rubik" w:hAnsi="Rubik"/>
          <w:color w:val="000000" w:themeColor="text1"/>
          <w:vertAlign w:val="superscript"/>
        </w:rPr>
        <w:fldChar w:fldCharType="end"/>
      </w:r>
      <w:r w:rsidRPr="00584BCB">
        <w:rPr>
          <w:rFonts w:ascii="Rubik" w:hAnsi="Rubik"/>
          <w:color w:val="000000" w:themeColor="text1"/>
        </w:rPr>
        <w:t>, working for any part of a day</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{"citationID":"7HEY4Nbp","properties":{"formattedCitation":"\\super 19\\nosupersub{}","plainCitation":"19","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19</w:t>
      </w:r>
      <w:r w:rsidRPr="00584BCB">
        <w:rPr>
          <w:rFonts w:ascii="Rubik" w:hAnsi="Rubik"/>
          <w:color w:val="000000" w:themeColor="text1"/>
          <w:vertAlign w:val="superscript"/>
        </w:rPr>
        <w:fldChar w:fldCharType="end"/>
      </w:r>
      <w:r w:rsidRPr="00584BCB">
        <w:rPr>
          <w:rFonts w:ascii="Rubik" w:hAnsi="Rubik"/>
          <w:color w:val="000000" w:themeColor="text1"/>
        </w:rPr>
        <w:t>, attending at least 1 day of paid work</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{"citationID":"NLZC1jmT","properties":{"formattedCitation":"\\super 20,21,26,38,42\\nosupersub{}","plainCitation":"20,21,26,38,42","noteIndex":0},"citationItems":[{"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109090,"uris":["http://zotero.org/users/5729315/items/Y7UXXWJB"],"uri":["http://zotero.org/users/5729315/items/Y7UXXWJB"],"itemData":{"id":109090,"type":"article-journal","abstra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systems.\nMETHODS: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area.\nRESULTS: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study.\nCONCLUSION: The results support previous international findings that IPS-supported employment is more effective than non-integrated supported employment. IPS can be successfully implemented this way in Australia, but with a loss of effect strength compared to previous USA trials.","container-title":"Australian Occupational Therapy Journal","DOI":"10.1111/1440-1630.12148","ISSN":"1440-1630","issue":"6","journalAbbreviation":"Aust Occup Ther J","language":"eng","note":"PMID: 25284162","page":"424-436","source":"PubMed","title":"A multi-site randomised controlled trial of evidence-based supported employment for adults with severe and persistent mental illness","volume":"61","author":[{"family":"Waghorn","given":"Geoffrey"},{"family":"Dias","given":"Shannon"},{"family":"Gladman","given":"Beverley"},{"family":"Harris","given":"Meredith"},{"family":"Saha","given":"Sukanta"}],"issued":{"date-parts":[["2014",12]]}},"label":"page"},{"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vertAlign w:val="superscript"/>
        </w:rPr>
        <w:instrText>Β</w:instrText>
      </w:r>
      <w:r w:rsidRPr="00584BCB">
        <w:rPr>
          <w:rFonts w:ascii="Rubik" w:hAnsi="Rubik"/>
          <w:color w:val="000000" w:themeColor="text1"/>
          <w:vertAlign w:val="superscript"/>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20,21,26,38,42</w:t>
      </w:r>
      <w:r w:rsidRPr="00584BCB">
        <w:rPr>
          <w:rFonts w:ascii="Rubik" w:hAnsi="Rubik"/>
          <w:color w:val="000000" w:themeColor="text1"/>
          <w:vertAlign w:val="superscript"/>
        </w:rPr>
        <w:fldChar w:fldCharType="end"/>
      </w:r>
      <w:r w:rsidRPr="00584BCB">
        <w:rPr>
          <w:rFonts w:ascii="Rubik" w:hAnsi="Rubik"/>
          <w:color w:val="000000" w:themeColor="text1"/>
        </w:rPr>
        <w:t>, working at least 1 day in a 30-day period</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{"citationID":"9JeVRclG","properties":{"formattedCitation":"\\super 39\\nosupersub{}","plainCitation":"39","noteIndex":0},"citationItems":[{"id":109063,"uris":["http://zotero.org/users/5729315/items/6JCF7KY9"],"uri":["http://zotero.org/users/5729315/items/6JCF7KY9"],"itemData":{"id":109063,"type":"article-journal","abstract":"Individual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39</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w:t>
      </w:r>
      <w:r w:rsidRPr="00584BCB">
        <w:rPr>
          <w:rFonts w:ascii="Rubik" w:hAnsi="Rubik"/>
          <w:color w:val="000000" w:themeColor="text1"/>
        </w:rPr>
        <w:t xml:space="preserve"> hold the job for at least 5 days</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{"citationID":"7c7EQvai","properties":{"formattedCitation":"\\super 35,36\\nosupersub{}","plainCitation":"35,36","noteIndex":0},"citationItems":[{"id":109104,"uris":["http://zotero.org/users/5729315/items/M3RIRUR8"],"uri":["http://zotero.org/users/5729315/items/M3RIRUR8"],"itemData":{"id":109104,"type":"article-journal","abstract":"OBJECTIVE: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label":"page"},{"id":109110,"uris":["http://zotero.org/users/5729315/items/S5IGZXKT"],"uri":["http://zotero.org/users/5729315/items/S5IGZXKT"],"itemData":{"id":109110,"type":"article-journal","abstract":"Hoffmann H, Jäckel D, Glauser S, Kupper Z. A randomised controlled trial of the efficacy of supported employment. Objective: Although numerous randomised controlled trials indicated the superiority of supported employment (SE), we still have too little evidence that SE is more effective than traditional vocational rehabilitation programmes (TVR) in Western European countries with highly developed social security and welfare systems, sophisticated rehabilitation programmes and high thresholds to the open labour market. The aim of this study is to prove the efficacy of SE in Switzerland. Method: Following a 2-week intake assessment, 100 unemployed persons with stabilised severe mental illness (SMI) were randomly assigned to either the SE programme (n = 46) or to the most viable locally available TVR (n = 54). Follow-up lasted 24 months. Results: After the first year, the rate of competitive employment reached a mean level of 48.2% in the SE group and of 18.5% in the TVR group. 58.7% of the SE group were ever competitively employed as opposed to 25.9% of the TVR group. In the second year, SE group participants were competitively employed for 24.5 weeks as compared with 10.2 in the TVR group. The groups showed no significant differences in the non-vocational outcome criteria. Conclusion: The SE programme in Switzerland also proved more effective than TVR and seems to be applicable to the socio-economic context of Western European countries.","container-title":"Acta Psychiatrica Scandinavica","DOI":"https://doi.org/10.1111/j.1600-0447.2011.01780.x","ISSN":"1600-0447","issue":"2","language":"en","note":"_eprint: https://onlinelibrary.wiley.com/doi/pdf/10.1111/j.1600-0447.2011.01780.x","page":"157-167","source":"Wiley Online Library","title":"A randomised controlled trial of the efficacy of supported employment","volume":"125","author":[{"family":"Hoffmann","given":"H."},{"family":"Jäckel","given":"D."},{"family":"Glauser","given":"S."},{"family":"Kupper","given":"Z."}],"issued":{"date-parts":[["2012"]]}},"label":"page"}],"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35,36</w:t>
      </w:r>
      <w:r w:rsidRPr="00584BCB">
        <w:rPr>
          <w:rFonts w:ascii="Rubik" w:hAnsi="Rubik"/>
          <w:color w:val="000000" w:themeColor="text1"/>
          <w:vertAlign w:val="superscript"/>
        </w:rPr>
        <w:fldChar w:fldCharType="end"/>
      </w:r>
      <w:r w:rsidRPr="00584BCB">
        <w:rPr>
          <w:rFonts w:ascii="Rubik" w:hAnsi="Rubik"/>
          <w:color w:val="000000" w:themeColor="text1"/>
        </w:rPr>
        <w:t>, at least 1 week</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{"citationID":"fPdBnJM9","properties":{"formattedCitation":"\\super 27\\nosupersub{}","plainCitation":"27","noteIndex":0},"citationItems":[{"id":109044,"uris":["http://zotero.org/users/5729315/items/VL6UW8R3"],"uri":["http://zotero.org/users/5729315/items/VL6UW8R3"],"itemData":{"id":109044,"type":"article-journal","abstract":"BACKGROUND: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27</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w:t>
      </w:r>
      <w:r w:rsidRPr="00584BCB">
        <w:rPr>
          <w:rFonts w:ascii="Rubik" w:hAnsi="Rubik"/>
          <w:color w:val="000000" w:themeColor="text1"/>
        </w:rPr>
        <w:t xml:space="preserve"> continuous employment for at least 30 days (with part-time employment rated pro-rata)</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{"citationID":"IgnRiBqH","properties":{"formattedCitation":"\\super 28,44\\nosupersub{}","plainCitation":"28,44","noteIndex":0},"citationItems":[{"id":109076,"uris":["http://zotero.org/users/5729315/items/EQ2U669A"],"uri":["http://zotero.org/users/5729315/items/EQ2U669A"],"itemData":{"id":109076,"type":"article-journal","abstract":"Studies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109112,"uris":["http://zotero.org/users/5729315/items/DYEDJT92"],"uri":["http://zotero.org/users/5729315/items/DYEDJT92"],"itemData":{"id":109112,"type":"article-journal","abstract":"BACKGROUND: There is evidence from North American trials that supported employment using the individual placement and support (IPS) model is effective in helping individuals with severe mental illness gain competitive employment. There have been few trials in other parts of the world.\nAIMS: To investigate the effectiveness and cost-effectiveness of IPS in the UK.\nMETHOD: Individuals with severe mental illness in South London were randomised to IPS or local traditional vocational services (treatment as usual) (ISRCTN96677673).\nRESULTS: Two hundred and nineteen participants were randomised, and 90% assessed 1 year later. There were no significant differences between the treatment as usual and intervention groups in obtaining competitive employment (13% in the intervention group and 7% in controls; risk ratio 1.35, 95% CI 0.95-1.93, P = 0.15), nor in secondary outcomes.\nCONCLUSIONS: There was no evidence that IPS was of significant benefit in achieving competitive employment for individuals in South London at 1-year follow-up, which may reflect suboptimal implementation. Implementation of IPS can be challenging in the UK context where IPS is not structurally integrated with mental health services, and economic disincentives may lead to lower levels of motivation in individuals with severe mental illness and psychiatric professionals.","container-title":"The British Journal of Psychiatry: The Journal of Mental Science","DOI":"10.1192/bjp.bp.108.061465","ISSN":"1472-1465","issue":"5","journalAbbreviation":"Br J Psychiatry","language":"eng","note":"PMID: 20435968\nPMCID: PMC2862060","page":"404-411","source":"PubMed","title":"Supported employment: randomised controlled trial","title-short":"Supported employment","volume":"196","author":[{"family":"Howard","given":"Louise M."},{"family":"Heslin","given":"Margaret"},{"family":"Leese","given":"Morven"},{"family":"McCrone","given":"Paul"},{"family":"Rice","given":"Christopher"},{"family":"Jarrett","given":"Manuela"},{"family":"Spokes","given":"Terry"},{"family":"Huxley","given":"Peter"},{"family":"Thornicroft","given":"Graham"}],"issued":{"date-parts":[["2010",5]]}},"label":"page"}],"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28,44</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 xml:space="preserve">, </w:t>
      </w:r>
      <w:r w:rsidRPr="00584BCB">
        <w:rPr>
          <w:rFonts w:ascii="Rubik" w:hAnsi="Rubik"/>
          <w:color w:val="000000" w:themeColor="text1"/>
        </w:rPr>
        <w:t>continuously worked in a job for at least 2 months for at least 20h/week</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{"citationID":"KTqnoaRa","properties":{"formattedCitation":"\\super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25</w:t>
      </w:r>
      <w:r w:rsidRPr="00584BCB">
        <w:rPr>
          <w:rFonts w:ascii="Rubik" w:hAnsi="Rubik"/>
          <w:color w:val="000000" w:themeColor="text1"/>
          <w:vertAlign w:val="superscript"/>
        </w:rPr>
        <w:fldChar w:fldCharType="end"/>
      </w:r>
      <w:r w:rsidRPr="00584BCB">
        <w:rPr>
          <w:rFonts w:ascii="Rubik" w:hAnsi="Rubik"/>
          <w:color w:val="000000" w:themeColor="text1"/>
        </w:rPr>
        <w:t>. Davis 2018 operationalised employment as working in a paid job within the last 30 days</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{"citationID":"5WwXAIFS","properties":{"formattedCitation":"\\super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24</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w:t>
      </w:r>
      <w:r w:rsidRPr="00584BCB">
        <w:rPr>
          <w:rFonts w:ascii="Rubik" w:hAnsi="Rubik"/>
          <w:color w:val="000000" w:themeColor="text1"/>
        </w:rPr>
        <w:t xml:space="preserve"> It was unclear how the remaining studies operationalised employment</w:t>
      </w:r>
      <w:r w:rsidRPr="00584BCB">
        <w:rPr>
          <w:rFonts w:ascii="Rubik" w:hAnsi="Rubik"/>
          <w:color w:val="000000" w:themeColor="text1"/>
          <w:vertAlign w:val="superscript"/>
        </w:rPr>
        <w:fldChar w:fldCharType="begin"/>
      </w:r>
      <w:r w:rsidRPr="00584BCB">
        <w:rPr>
          <w:rFonts w:ascii="Rubik" w:hAnsi="Rubik"/>
          <w:color w:val="000000" w:themeColor="text1"/>
          <w:vertAlign w:val="superscript"/>
        </w:rPr>
        <w:instrText xml:space="preserve"> ADDIN ZOTERO_ITEM CSL_CITATION {"citationID":"P9nKe1B0","properties":{"formattedCitation":"\\super 22,30\\uc0\\u8211{}32,41\\nosupersub{}","plainCitation":"22,30–32,41","noteIndex":0},"citationItems":[{"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id":109049,"uris":["http://zotero.org/users/5729315/items/TRQWYYPI"],"uri":["http://zotero.org/users/5729315/items/TRQWYYPI"],"itemData":{"id":109049,"type":"article-journal","abstract":"For most youth with autism spectrum disorders (ASD), employment upon graduation from high school or college is elusive. Employment rates are reported in many studies to be very low despite many years of intensive special education services. This paper presented the preliminary results of a randomized clinical trial of Project SEARCH plus ASD Supports on the employment outcomes for youth with ASD between the ages of 18–21&amp;nbsp;years of age. This model provides very promising results in that the employment outcomes for youth in the treatment group were much higher in non-traditional jobs with higher than minimum wage incomes than for youth in the control condition. Specifically, 21 out of 24 (87.5&amp;nbsp;%) treatment group participants acquired employment while 1 of 16 (6.25&amp;nbsp;%) of control group participants acquired employment.","container-title":"Journal of Autism and Developmental Disorders","DOI":"10.1007/s10803-013-1892-x","ISSN":"1573-3432","issue":"3","journalAbbreviation":"J Autism Dev Disord","language":"en","note":"Company: Springer\nDistributor: Springer\nInstitution: Springer\nLabel: Springer\nnumber: 3\npublisher: Springer US","page":"487-500","source":"rd.springer.com","title":"Competitive Employment for Youth with Autism Spectrum Disorders: Early Results from a Randomized Clinical Trial","title-short":"Competitive Employment for Youth with Autism Spectrum Disorders","volume":"44","author":[{"family":"Wehman","given":"Paul H."},{"family":"Schall","given":"Carol M."},{"family":"McDonough","given":"Jennifer"},{"family":"Kregel","given":"John"},{"family":"Brooke","given":"Valerie"},{"family":"Molinelli","given":"Alissa"},{"family":"Ham","given":"Whitney"},{"family":"Graham","given":"Carolyn W."},{"family":"Riehle","given":"J. Erin"},{"family":"Collins","given":"Holly T."},{"family":"Thiss","given":"Weston"}],"issued":{"date-parts":[["2014",3,1]]}},"label":"page"},{"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per hour. Furthermore, 87% of those individuals maintained employment at 12</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months post-graduation and 12% acquiring employment by 12</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9) for a mean hourly wage of $9.61 per hour (SD</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w:instrText>
      </w:r>
      <w:r w:rsidRPr="00584BCB">
        <w:rPr>
          <w:rFonts w:ascii="Times New Roman" w:hAnsi="Times New Roman" w:cs="Times New Roman"/>
          <w:color w:val="000000" w:themeColor="text1"/>
          <w:vertAlign w:val="superscript"/>
        </w:rPr>
        <w:instrText> </w:instrText>
      </w:r>
      <w:r w:rsidRPr="00584BCB">
        <w:rPr>
          <w:rFonts w:ascii="Rubik" w:hAnsi="Rubik"/>
          <w:color w:val="000000" w:themeColor="text1"/>
          <w:vertAlign w:val="superscript"/>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label":"page"},{"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J."}],"issued":{"date-parts":[["2015",9,1]]}},"label":"page"}],"schema":"https://github.com/citation-style-language/schema/raw/master/csl-citation.json"} </w:instrText>
      </w:r>
      <w:r w:rsidRPr="00584BCB">
        <w:rPr>
          <w:rFonts w:ascii="Rubik" w:hAnsi="Rubik"/>
          <w:color w:val="000000" w:themeColor="text1"/>
          <w:vertAlign w:val="superscript"/>
        </w:rPr>
        <w:fldChar w:fldCharType="separate"/>
      </w:r>
      <w:r w:rsidRPr="00584BCB">
        <w:rPr>
          <w:rFonts w:ascii="Rubik" w:hAnsi="Rubik"/>
          <w:color w:val="000000" w:themeColor="text1"/>
          <w:vertAlign w:val="superscript"/>
        </w:rPr>
        <w:t>22,30–32,41</w:t>
      </w:r>
      <w:r w:rsidRPr="00584BCB">
        <w:rPr>
          <w:rFonts w:ascii="Rubik" w:hAnsi="Rubik"/>
          <w:color w:val="000000" w:themeColor="text1"/>
          <w:vertAlign w:val="superscript"/>
        </w:rPr>
        <w:fldChar w:fldCharType="end"/>
      </w:r>
      <w:r w:rsidRPr="00584BCB">
        <w:rPr>
          <w:rFonts w:ascii="Rubik" w:hAnsi="Rubik"/>
          <w:color w:val="000000" w:themeColor="text1"/>
          <w:vertAlign w:val="superscript"/>
        </w:rPr>
        <w:t>.</w:t>
      </w:r>
      <w:r w:rsidRPr="00584BCB">
        <w:rPr>
          <w:rFonts w:ascii="Rubik" w:hAnsi="Rubik"/>
          <w:color w:val="000000" w:themeColor="text1"/>
        </w:rPr>
        <w:t xml:space="preserve"> The heterogeneity in outcome definition and method of measurement between the included studies prevented us from synthesising the data using meta-analysis. Therefore, we report the </w:t>
      </w:r>
      <w:r w:rsidRPr="00584BCB">
        <w:rPr>
          <w:rFonts w:ascii="Rubik" w:hAnsi="Rubik"/>
          <w:color w:val="000000" w:themeColor="text1"/>
        </w:rPr>
        <w:lastRenderedPageBreak/>
        <w:t xml:space="preserve">statistical analyses of each study as the authors reported it.  </w:t>
      </w:r>
    </w:p>
    <w:p w14:paraId="77D64AD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Only three studies reported that the outcomes were assessed by someone who was blind to the randomisation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{"citationID":"SXxwzBzh","properties":{"formattedCitation":"\\super 21,25,37\\nosupersub{}","plainCitation":"21,25,37","noteIndex":0},"citationItems":[{"id":109094,"uris":["http://zotero.org/users/5729315/items/4939LXAS"],"uri":["http://zotero.org/users/5729315/items/4939LXAS"],"itemData":{"id":109094,"type":"article-journal","abstract":"Aim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21,25,37</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the other studies either did not report enough information or the outcome assessor was either aware of the participants’ assigned intervention group or was the participant themselves.</w:t>
      </w:r>
    </w:p>
    <w:p w14:paraId="7EC1C27D" w14:textId="77777777" w:rsidR="00237202" w:rsidRPr="00584BCB" w:rsidRDefault="00237202" w:rsidP="00237202">
      <w:pPr>
        <w:pStyle w:val="Heading1"/>
        <w:rPr>
          <w:color w:val="000000" w:themeColor="text1"/>
        </w:rPr>
        <w:sectPr w:rsidR="00237202" w:rsidRPr="00584BCB" w:rsidSect="00B241F2">
          <w:type w:val="continuous"/>
          <w:pgSz w:w="12240" w:h="15840"/>
          <w:pgMar w:top="1440" w:right="1440" w:bottom="1440" w:left="1440" w:header="720" w:footer="720" w:gutter="0"/>
          <w:cols w:num="2" w:space="709"/>
        </w:sectPr>
      </w:pPr>
    </w:p>
    <w:p w14:paraId="0B13C458" w14:textId="77F14A71" w:rsidR="00237202" w:rsidRPr="00584BCB" w:rsidRDefault="00237202" w:rsidP="00237202">
      <w:pPr>
        <w:pStyle w:val="Heading1"/>
        <w:rPr>
          <w:rFonts w:ascii="Rubik" w:hAnsi="Rubik"/>
          <w:bCs/>
          <w:color w:val="000000" w:themeColor="text1"/>
          <w:sz w:val="22"/>
          <w:szCs w:val="22"/>
        </w:rPr>
      </w:pPr>
      <w:bookmarkStart w:id="32" w:name="_Toc66716610"/>
      <w:r w:rsidRPr="00584BCB">
        <w:rPr>
          <w:color w:val="000000" w:themeColor="text1"/>
        </w:rPr>
        <w:lastRenderedPageBreak/>
        <w:t>Synthesis of effects – primary outcome of this review</w:t>
      </w:r>
      <w:bookmarkEnd w:id="32"/>
      <w:r w:rsidRPr="00584BCB">
        <w:rPr>
          <w:color w:val="000000" w:themeColor="text1"/>
        </w:rPr>
        <w:t xml:space="preserve"> </w:t>
      </w:r>
    </w:p>
    <w:p w14:paraId="66B25075" w14:textId="150C1E13" w:rsidR="00237202" w:rsidRPr="00584BCB" w:rsidRDefault="00237202" w:rsidP="00237202">
      <w:pPr>
        <w:pStyle w:val="PlainParagraph"/>
        <w:spacing w:before="200"/>
        <w:ind w:left="0"/>
        <w:rPr>
          <w:rFonts w:ascii="Rubik" w:hAnsi="Rubik"/>
          <w:color w:val="000000" w:themeColor="text1"/>
        </w:rPr>
      </w:pPr>
      <w:r w:rsidRPr="00584BCB">
        <w:rPr>
          <w:rFonts w:ascii="Rubik Medium" w:hAnsi="Rubik Medium" w:cs="Rubik Medium"/>
          <w:color w:val="000000" w:themeColor="text1"/>
          <w:sz w:val="28"/>
          <w:szCs w:val="28"/>
        </w:rPr>
        <w:t>Open employment participation in people with psychosocial disability measured within 12 months post-intervention</w:t>
      </w:r>
    </w:p>
    <w:p w14:paraId="18C2D78A" w14:textId="5A7B68A5" w:rsidR="00BD1825" w:rsidRPr="00584BCB" w:rsidRDefault="00BD1825" w:rsidP="00BD1825">
      <w:pPr>
        <w:rPr>
          <w:rFonts w:ascii="Rubik" w:hAnsi="Rubik"/>
          <w:color w:val="000000" w:themeColor="text1"/>
          <w:sz w:val="22"/>
        </w:rPr>
      </w:pPr>
      <w:r w:rsidRPr="00584BCB">
        <w:rPr>
          <w:rFonts w:ascii="Rubik" w:hAnsi="Rubik"/>
          <w:color w:val="000000" w:themeColor="text1"/>
          <w:sz w:val="22"/>
        </w:rPr>
        <w:t>Eight studies examined the effect of IPS compared to traditional vocational rehabilitation (TVR) on open employment (measured in a variety of ways and time frames) and all favoured IPS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{"citationID":"Q5cn1Ck5","properties":{"formattedCitation":"\\super 19,20,23,26\\uc0\\u8211{}29,38\\nosupersub{}","plainCitation":"19,20,23,26–29,38","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V."}],"issued":{"date-parts":[["2012",3,1]]}},"label":"page"},{"id":109100,"uris":["http://zotero.org/users/5729315/items/H6RINDZY"],"uri":["http://zotero.org/users/5729315/items/H6RINDZY"],"itemData":{"id":109100,"type":"article-journal","abstract":"BackgroundHigh unemployment is a hallmark of psychotic illness. Individual placement and support (IPS) may be effective at assisting the vocational recoveries of young people with first-episode psychosis (FEP).AimsTo examine the effectiveness of IPS at assisting young people with FEP to gain employment (Australian and Clinical Trials Registry ACTRN12608000094370).MethodYoung people with FEP (n = 146) who were interested in vocational recovery were randomised using computer-generated random permuted blocks on a 1:1 ratio to: (a) 6 months of IPS in addition to treatment as usual (TAU) or (b) TAU alone. Assessments were conducted at baseline, 6 months (end of intervention), 12 months and 18 months post-baseline by research assistants who were masked to the treatment allocations.ResultsAt the end of the intervention the IPS group had a significantly higher rate of having been employed (71.2%) than the TAU group (48.0%), odds ratio 3.40 (95% CI 1.17–9.91, z = 2.25, P = 0.025). However, this difference was not seen at 12- and 18-month follow-up points. There was no difference at any time point on educational outcomes.ConclusionsThis is the largest trial to our knowledge on the effectiveness of IPS in FEP. The IPS group achieved a very high employment rate during the 6 months of the intervention. However, the advantage of IPS was not maintained in the long term. This seems to be related more to an unusually high rate of employment being achieved in the control group rather than a gross reduction in employment among the IPS group.Declaration of interestNone.","container-title":"The British Journal of Psychiatry","DOI":"10.1192/bjp.2018.191","ISSN":"0007-1250, 1472-1465","issue":"2","language":"en","note":"publisher: Cambridge University Press","page":"76-82","source":"Cambridge University Press","title":"Individual placement and support for vocational recovery in first-episode psychosis: randomised controlled trial","title-short":"Individual placement and support for vocational recovery in first-episode psychosis","volume":"214","author":[{"family":"Killackey","given":"Eóin"},{"family":"Allott","given":"Kelly"},{"family":"Jackson","given":"Henry J."},{"family":"Scutella","given":"Rosanna"},{"family":"Tseng","given":"Yi-Ping"},{"family":"Borland","given":"Jeff"},{"family":"Proffitt","given":"Tina-Marie"},{"family":"Hunt","given":"Sally"},{"family":"Kay-Lambkin","given":"Frances"},{"family":"Chinnery","given":"Gina"},{"family":"Baksheev","given":"Gennady"},{"family":"Alvarez-Jimenez","given":"Mario"},{"family":"McGorry","given":"Patrick D."},{"family":"Cotton","given":"Susan M."}],"issued":{"date-parts":[["2019",2]]}},"label":"page"},{"id":109070,"uris":["http://zotero.org/users/5729315/items/M52MRHGS"],"uri":["http://zotero.org/users/5729315/items/M52MRHGS"],"itemData":{"id":109070,"type":"article-journal","abstract":"Objective:Posttraumatic stress disorder (PTSD) is a potentially disabling mental illness that can cause occupational dysfunction. Although vocational rehabilitation is often prescribed for patients with PTSD, standard vocational services are far from adequate in helping them obtain and maintain competitive employment. This study is the first to examine the outcome of evidence-based supported employment for veterans with PTSD.Methods:Unemployed veterans with PTSD were randomly assigned to either individual placement and support (IPS) supported employment (N=42) or a Veterans Health Administration Vocational Rehabilitation Program (VRP) treatment as usual (N=43). Employment rates and occupational outcomes were followed for 12 months.Results:During the 12-month study, 76% of the IPS participants gained competitive employment, compared with 28% of the VRP participants (number needed to treat=2.07; </w:instrText>
      </w:r>
      <w:r w:rsidRPr="00584BCB">
        <w:rPr>
          <w:rFonts w:ascii="Cambria" w:hAnsi="Cambria" w:cs="Cambria"/>
          <w:color w:val="000000" w:themeColor="text1"/>
          <w:sz w:val="22"/>
          <w:vertAlign w:val="superscript"/>
        </w:rPr>
        <w:instrText>χ</w:instrText>
      </w:r>
      <w:r w:rsidRPr="00584BCB">
        <w:rPr>
          <w:rFonts w:ascii="Rubik" w:hAnsi="Rubik"/>
          <w:color w:val="000000" w:themeColor="text1"/>
          <w:sz w:val="22"/>
          <w:vertAlign w:val="superscript"/>
        </w:rPr>
        <w:instrText xml:space="preserve">2=19.84, df=1, p&lt;.001). Veterans assigned to IPS also worked substantially more weeks than those assigned to VRP (42% versus 16% of the eligible weeks, respectively; Mann-Whitney z test p&lt;.001) and earned higher 12-month income (mean±SD income of $9,264±$13,294 for IPS versus $2,601±$6,009 for VRP; Mann-Whitney z test p&lt;.001) during the 12-month period.Conclusions:Veterans with PTSD who received IPS were 2.7 times more likely to gain competitive employment than those who received VRP. Because work is central to recovery, these results should assist stakeholders in planning improved services for veterans with PTSD. (Psychiatric Services 63:464–470, 2012; doi:10.1176/appi.ps.201100340)","container-title":"Psychiatric Services","DOI":"10.1176/appi.ps.201100340","ISSN":"1075-2730","issue":"5","journalAbbreviation":"PS","note":"publisher: American Psychiatric Publishing","page":"464-470","source":"ps.psychiatryonline.org (Atypon)","title":"A Randomized Controlled Trial of Supported Employment Among Veterans With Posttraumatic Stress Disorder","volume":"63","author":[{"family":"Davis","given":"Lori L."},{"family":"Leon","given":"Andrew C."},{"family":"Toscano","given":"Richard"},{"family":"Drebing","given":"Charles E."},{"family":"Ward","given":"L. Charles"},{"family":"Parker","given":"Pamela E."},{"family":"Kashner","given":"T. Michael"},{"family":"Drake","given":"Robert E."}],"issued":{"date-parts":[["2012",5,1]]}},"label":"page"},{"id":109088,"uris":["http://zotero.org/users/5729315/items/N6NSCE65"],"uri":["http://zotero.org/users/5729315/items/N6NSCE65"],"itemData":{"id":109088,"type":"article-journal","container-title":"Psychiatric Rehabilitation Journal","DOI":"10.1037/prj0000061","ISSN":"1095-158X","issue":"2","language":"English","note":"publisher: AMER PSYCHOLOGICAL ASSOC","page":"129-136","source":"www.rug.nl","title":"Effectiveness of Individual Placement and Support for People With Severe Mental Illness in the Netherlands: A 30-Month Randomized Controlled Trial","title-short":"Effectiveness of Individual Placement and Support for People With Severe Mental Illness in the Netherlands","volume":"37","author":[{"family":"Michon","given":"Harry"},{"family":"Busschbach","given":"Jooske T.","dropping-particle":"van"},{"family":"Stant","given":"A. Dennis"},{"family":"Vugt","given":"Maaike D.","dropping-particle":"van"},{"family":"Weeghel","given":"Jaap","dropping-particle":"van"},{"family":"Kroon","given":"Hans"}],"issued":{"date-parts":[["2014",6]]}},"label":"page"},{"id":109090,"uris":["http://zotero.org/users/5729315/items/Y7UXXWJB"],"uri":["http://zotero.org/users/5729315/items/Y7UXXWJB"],"itemData":{"id":109090,"type":"article-journal","abstract":"BACKGROUND/AIM: The Individual Placement and Support (IPS) approach is an evidence-based form of supported employment for people with severe and persistent mental illness. This approach is not yet widely available in Australia even though there is mounting evidence of its generalisability outside the USA. One previous Australian randomised controlled trial found that IPS is effective for young people with first episode psychosis. The aim of the current trial was to assess the effectiveness of evidence-based supported employment when implemented for Australian adult consumers of public mental health services by utilising existing service systems.\nMETHODS: A four-site randomised control trial design (n = 208) was conducted in Brisbane (two sites), Townsville and Cairns. The intervention consisted of an IPS supported employment service hosted by a community mental health team. The control condition was delivered at each site by mental health teams referring consumers to other disability employment services in the local area.\nRESULTS: At 12 months, those in the IPS condition had 2.4 times greater odds of commencing employment than those in the control condition (42.5% vs. 23.5%). The conditions did not differ on secondary employment outcomes including job duration, hours worked, or job diversity. Attrition was higher than expected in both conditions with 28.4% completing the baseline interview but taking no further part in the study.\nCONCLUSION: The results support previous international findings that IPS-supported employment is more effective than non-integrated supported employment. IPS can be successfully implemented this way in Australia, but with a loss of effect strength compared to previous USA trials.","container-title":"Australian Occupational Therapy Journal","DOI":"10.1111/1440-1630.12148","ISSN":"1440-1630","issue":"6","journalAbbreviation":"Aust Occup Ther J","language":"eng","note":"PMID: 25284162","page":"424-436","source":"PubMed","title":"A multi-site randomised controlled trial of evidence-based supported employment for adults with severe and persistent mental illness","volume":"61","author":[{"family":"Waghorn","given":"Geoffrey"},{"family":"Dias","given":"Shannon"},{"family":"Gladman","given":"Beverley"},{"family":"Harris","given":"Meredith"},{"family":"Saha","given":"Sukanta"}],"issued":{"date-parts":[["2014",12]]}},"label":"page"},{"id":109044,"uris":["http://zotero.org/users/5729315/items/VL6UW8R3"],"uri":["http://zotero.org/users/5729315/items/VL6UW8R3"],"itemData":{"id":109044,"type":"article-journal","abstract":"BACKGROUND: Currently there is no evidence on the effectiveness of Individual Placement and Support (IPS) in Sweden.\nAIMS: To determine the effectiveness of IPS on vocational outcomes among people with severe mental illness (SMI) in a Swedish context. A secondary aim was to evaluate a community integration effect.\nMETHODS: A randomized controlled trial with a parallel design was used. Mental health outpatients with SMI were randomized to IPS or traditional vocational rehabilitation (TVR) services. The allocation status was assessor-blinded. The primary outcome was competitive employment. All vocational outcomes were collected continuously, and socio-demographic and clinical variables at baseline, 6 and 18 months. The trial is registered with ClinicalTrials.gov: NCT00960024.\nRESULTS: One hundred and twenty participants were randomized. Eighty seven per cent were assessed after 6 months, and 73% after 18 months. IPS was more effective than TVR in terms of gaining employment at 18-month follow-up (46% vs. 11%; difference 36%, 95% CI 18-54), along with the amount of working hours and weeks, longer job tenure periods and income. Cox regression analysis showed that IPS participants gained employment five times quicker than those in TVR. Ninety per cent of the IPS participants became involved in work, internships or education, i.e. activities integrated in mainstream community settings, while 24% in the TVR group achieved this.\nCONCLUSIONS: IPS is effective in a Swedish context in terms of gaining employment and becoming integrated within the local community. The welfare system presented obstacles for gaining competitive employment directly and it was indicated that internships delayed time to first competitive employment.","container-title":"Nordic Journal of Psychiatry","DOI":"10.3109/08039488.2014.929739","ISSN":"1502-4725","issue":"1","journalAbbreviation":"Nord J Psychiatry","language":"eng","note":"PMID: 24983382","page":"57-66","source":"PubMed","title":"Individual placement and support in Sweden - a randomized controlled trial","volume":"69","author":[{"family":"Bejerholm","given":"Ulrika"},{"family":"Areberg","given":"Cecilia"},{"family":"Hofgren","given":"Caisa"},{"family":"Sandlund","given":"Mikael"},{"family":"Rinaldi","given":"Miles"}],"issued":{"date-parts":[["2015",1]]}},"label":"page"},{"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19,20,23,26–29,38</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(Table 5).</w:t>
      </w:r>
      <w:r w:rsidR="00B241F2" w:rsidRPr="00584BCB">
        <w:rPr>
          <w:rFonts w:ascii="Rubik" w:hAnsi="Rubik"/>
          <w:color w:val="000000" w:themeColor="text1"/>
          <w:sz w:val="22"/>
        </w:rPr>
        <w:t xml:space="preserve"> </w:t>
      </w:r>
      <w:r w:rsidRPr="00584BCB">
        <w:rPr>
          <w:rFonts w:ascii="Rubik" w:hAnsi="Rubik"/>
          <w:color w:val="000000" w:themeColor="text1"/>
          <w:sz w:val="22"/>
        </w:rPr>
        <w:t>Three studies examined the effect of IPS compared to control conditions other than TVR</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{"citationID":"Yh48avCO","properties":{"formattedCitation":"\\super 16,21,39\\nosupersub{}","plainCitation":"16,21,39","noteIndex":0},"citationItems":[{"id":109094,"uris":["http://zotero.org/users/5729315/items/4939LXAS"],"uri":["http://zotero.org/users/5729315/items/4939LXAS"],"itemData":{"id":109094,"type":"article-journal","abstract":"Aim Individual Placement and Support is an effective vocational intervention for increasing competitive employment for people with severe mental illness. Little is known, however, about its effectiveness in the context of early psychosis. This study assesses improvements in clients' employment in a phase of illness during which functional abilities often decline. Methods The trial design is an assessor-blinded randomized clinical trial, set in the context of a population-based Early Psychosis Intervention program in British Columbia, Canada. Participants were randomized either to 1 year of employment support added to treatment-as-usual, or the latter alone. Interviews at intake captured data regarding demographics, symptom severity, and employment; assessments at 6 and 12 months repeated queries about employment activities. Results A total of 109 clients were recruited. Employment rates in the Individual Placement and Support group increased over time, unlike the control group. Further, the number of days worked over the 12-month intervention period, compared to the 6 months prior to the study, improved for both groups, but the increase was greater among clients receiving IPS. Sensitivity analysis indicated the advantage in days worked was evident in the second half of the intervention period (6-12 months), but not the first half. Conclusions Employment rates, for younger clients in both early-psychosis groups, were high compared to older clients in later stages of illness. In this study, use of the Individual Placement and Support strategy further increased employment, despite the high baseline rates. Further research is needed to identify the optimal timing of employment support for these clients.","container-title":"Early Intervention in Psychiatry","DOI":"https://doi.org/10.1111/eip.13005","ISSN":"1751-7893","issue":"n/a","language":"en","note":"_eprint: https://onlinelibrary.wiley.com/doi/pdf/10.1111/eip.13005","source":"Wiley Online Library","title":"“Individual Placement and Support” boosts employment for early psychosis clients, even when baseline rates are high","URL":"https://onlinelibrary.wiley.com/doi/abs/10.1111/eip.13005","volume":"n/a","author":[{"family":"Erickson","given":"David H."},{"family":"Roes","given":"Meighen M."},{"family":"DiGiacomo","given":"Alessandra"},{"family":"Burns","given":"Amy"}],"accessed":{"date-parts":[["2020",12,15]]}},"label":"page"},{"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L."}],"issued":{"date-parts":[["2015",6,1]]}},"label":"page"},{"id":109063,"uris":["http://zotero.org/users/5729315/items/6JCF7KY9"],"uri":["http://zotero.org/users/5729315/items/6JCF7KY9"],"itemData":{"id":109063,"type":"article-journal","abstract":"Individual placement and support (IPS) has not been tested experimentally among people recently housed with a scattered-site Housing First program. Ninety recently housed people were randomized to IPS or usual services. Regression models estimated via GEE were used to compare employment outcomes. Over 8 months of follow-up with good fidelity, fifteen (34 %) people in the IPS group versus nine (22 %) in the control group found competitive employment (p = 0.16). Adjusted odds of obtaining competitive employment were greater in the IPS group (OR 2.42, 95 %CI 1.13-5.16). Other employment outcomes were not significantly different between groups. Satisfaction with services was greater in the group receiving IPS. In this study, IPS was a modestly useful adjunct to scattered-site Housing First for people with mental illness who have been homeless.","container-title":"Administration and Policy in Mental Health","DOI":"10.1007/s10488-015-0713-2","ISSN":"1573-3289","issue":"2","journalAbbreviation":"Adm Policy Ment Health","language":"eng","note":"PMID: 26721567","page":"217-224","source":"PubMed","title":"A Randomised Controlled Trial of Evidence Based Supported Employment for People Who have Recently been Homeless and have a Mental Illness","volume":"44","author":[{"family":"Poremski","given":"Daniel"},{"family":"Rabouin","given":"Daniel"},{"family":"Latimer","given":"Eric"}],"issued":{"date-parts":[["2017",3]]}},"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16,21,39</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of which two favoured IPS but the study by Erickson et al showed no effect</w:t>
      </w:r>
      <w:r w:rsidR="005C67F0" w:rsidRPr="00584BCB">
        <w:rPr>
          <w:rFonts w:ascii="Rubik" w:hAnsi="Rubik"/>
          <w:color w:val="000000" w:themeColor="text1"/>
          <w:sz w:val="22"/>
        </w:rPr>
        <w:t xml:space="preserve"> (Table 5)</w:t>
      </w:r>
      <w:r w:rsidRPr="00584BCB">
        <w:rPr>
          <w:rFonts w:ascii="Rubik" w:hAnsi="Rubik"/>
          <w:color w:val="000000" w:themeColor="text1"/>
          <w:sz w:val="22"/>
        </w:rPr>
        <w:t xml:space="preserve">. </w:t>
      </w:r>
    </w:p>
    <w:p w14:paraId="05D3905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Three studies assessed the effect of IPS plus another intervention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{"citationID":"SP3LIjud","properties":{"formattedCitation":"\\super 18,22,37\\nosupersub{}","plainCitation":"18,22,37","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P."}],"issued":{"date-parts":[["2020"]]}},"label":"page"},{"id":109065,"uris":["http://zotero.org/users/5729315/items/NXIZ57FJ"],"uri":["http://zotero.org/users/5729315/items/NXIZ57FJ"],"itemData":{"id":109065,"type":"article-journal","abstract":"Background\n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label":"page"},{"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18,22,37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of which the study by Craig</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{"citationID":"2pHVkzKn","properties":{"formattedCitation":"\\super 22\\nosupersub{}","plainCitation":"22","noteIndex":0},"citationItems":[{"id":109065,"uris":["http://zotero.org/users/5729315/items/NXIZ57FJ"],"uri":["http://zotero.org/users/5729315/items/NXIZ57FJ"],"itemData":{"id":109065,"type":"article-journal","abstract":"Background\n               Individual placement and support (IPS) is effective in helping patients return to work but is poorly implemented because of clinical ambivalence and fears of relapse.\n            \n            \n               Aims\n               To assess whether a motivational intervention (motivational interviewing) directed at clinical staff to address ambivalence about employment improved patients' occupational outcomes.\n            \n            \n               Method\n               Two of four early intervention teams that already provided IPS were randomised to receive motivational interviewing training for clinicians, focused on attitudinal barriers to employment. The trial was registered with the International Standard Randomised Controlled Trial Register (ISRCTN71943786).\n            \n            \n               Results\n               Of 300 eligible participants, 159 consented to the research. Occupational outcomes were obtained for 134 patients (85%) at 12-month follow-up. More patients in the intervention teams than in the IPS-only teams achieved employment by 12 months (29/68 v. 12/66). A random effects logistic regression accounting for clustering by care coordinator, and adjusted for participants' gender, ethnicity, educational and employment history and clinical status scores, confirmed superiority of the intervention (odds ratio = 4.3, 95% CI 1.5–16.6).\n            \n            \n               Conclusions\n               Employment outcomes were enhanced by addressing clinicians' ambivalence about their patients returning to work.","container-title":"The British Journal of Psychiatry","DOI":"10.1192/bjp.bp.113.136283","ISSN":"0007-1250, 1472-1465","issue":"2","language":"en","note":"publisher: Cambridge University Press","page":"145-150","source":"Cambridge University Press","title":"Vocational rehabilitation in early psychosis: cluster randomised trial","title-short":"Vocational rehabilitation in early psychosis","volume":"205","author":[{"family":"Craig","given":"Tom"},{"family":"Shepherd","given":"Geoff"},{"family":"Rinaldi","given":"Miles"},{"family":"Smith","given":"Jo"},{"family":"Carr","given":"Sarah"},{"family":"Preston","given":"Fay"},{"family":"Singh","given":"Swaran"}],"issued":{"date-parts":[["2014",8]]}}}],"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22</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et al favoured IPS plus over IPS only, the study by Nuechterlein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{"citationID":"5VIdTqDz","properties":{"formattedCitation":"\\super 18\\nosupersub{}","plainCitation":"18","noteIndex":0},"citationItems":[{"id":109102,"uris":["http://zotero.org/users/5729315/items/SKYUIYYT"],"uri":["http://zotero.org/users/5729315/items/SKYUIYYT"],"itemData":{"id":109102,"type":"article-journal","abstract":"BACKGROUND: This study evaluated in a rigorous 18-month randomized controlled trial the efficacy of an enhanced vocational intervention for helping individuals with a recent first schizophrenia episode to return to and remain in competitive work or regular schooling.\nMETHODS: Individual Placement and Support (IPS) was adapted to meet the goals of individuals whose goals might involve either employment or schooling. IPS was combined with a Workplace Fundamentals Module (WFM) for an enhanced, outpatient, vocational intervention. Random assignment to the enhanced integrated rehabilitation program (N = 46) was contrasted with equally intensive clinical treatment at UCLA, including social skills training groups, and conventional vocational rehabilitation by state agencies (N = 23). All patients were provided case management and psychiatric services by the same clinical team and received oral atypical antipsychotic medication.\nRESULTS: The IPS-WFM combination led to 83% of patients participating in competitive employment or school in the first 6 months of intensive treatment, compared with 41% in the comparison group (p &lt; 0.005). During the subsequent year, IPS-WFM continued to yield higher rates of schooling/employment (92% v. 60%, p &lt; 0.03). Cumulative number of weeks of schooling and/or employment was also substantially greater with the IPS-WFM intervention (45 v. 26 weeks, p &lt; 0.004).\nCONCLUSIONS: The results clearly support the efficacy of an enhanced intervention focused on recovery of participation in normative work and school settings in the initial phase of schizophrenia, suggesting potential for prevention of disability.","container-title":"Psychological Medicine","DOI":"10.1017/S0033291718003860","ISSN":"1469-8978","issue":"1","journalAbbreviation":"Psychol Med","language":"eng","note":"PMID: 30606273\nPMCID: PMC6620168","page":"20-28","source":"PubMed","title":"Enhancing return to work or school after a first episode of schizophrenia: the UCLA RCT of Individual Placement and Support and Workplace Fundamentals Module training","title-short":"Enhancing return to work or school after a first episode of schizophrenia","volume":"50","author":[{"family":"Nuechterlein","given":"Keith H."},{"family":"Subotnik","given":"Kenneth L."},{"family":"Ventura","given":"Joseph"},{"family":"Turner","given":"Luana R."},{"family":"Gitlin","given":"Michael J."},{"family":"Gretchen-Doorly","given":"Denise"},{"family":"Becker","given":"Deborah R."},{"family":"Drake","given":"Robert E."},{"family":"Wallace","given":"Charles J."},{"family":"Liberman","given":"Robert P."}],"issued":{"date-parts":[["2020"]]}}}],"schema":"https://github.com/citation-style-language/schema/raw/master/csl-citation.json"}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18</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et al showed no effect initially (6 months) but favoured IPS plus vs Conventional Brokered Vocational Rehabilitation plus social skills training intervention, and the study by Schneider at al showed no effect for IPS plus vs IPS only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{"citationID":"pWHC6qgg","properties":{"formattedCitation":"\\super 37\\nosupersub{}","plainCitation":"37","noteIndex":0},"citationItems":[{"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p>
    <w:p w14:paraId="20543C5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One study that examined three interventions: TVR, IPS and IPS plus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{"citationID":"Yifhzhrt","properties":{"formattedCitation":"\\super 25\\nosupersub{}","plainCitation":"25","noteIndex":0},"citationItems":[{"id":109087,"uris":["http://zotero.org/users/5729315/items/EJV5MDDN"],"uri":["http://zotero.org/users/5729315/items/EJV5MDDN"],"itemData":{"id":109087,"type":"article-journal","abstract":"Objectives: The aim of the present study was to examine and compare the long-term effectiveness of the Integrated Supported Employment (ISE) programme, which consists of individual placement and support (IPS) and work-related social skills training, with the IPS programme on the vocational and non-vocational outcomes among individuals with severe mental illness (SMI) over a period of 3 years., Method: One hundred and eighty-nine participants with SMI were recruited from two non-government organizations and three day hospitals in Hong Kong and randomly assigned into the ISE (n = 58), IPS (n = 65) and traditional vocational rehabilitation (TVR) (n = 66) groups. Vocational and non-vocational outcomes of the ISE and IPS participants were collected by a blind and independent assessor at 7 11, 15, 21, 27, 33 and 39 months after their admission, whereas the TVR groups were assessed only up to the 15th month follow up., Results: After 39 months of service provision, ISE participants obtained higher employment rate (82.8% vs 61.5%) and longer job tenure (46.94 weeks vs 36.17 weeks) than the IPS participants. Only 6.1% of TVR participants were able to obtain employment before the 15th month follow up. Fewer interpersonal conflicts at the workplace were reported for the ISE participants. Advantages of the ISE participants over IPS participants on non-vocational outcomes were not conclusive., Conclusion: The long-term effectiveness of the ISE programme in enhancing employment rates and job tenures among individuals with SMI was demonstrated by this randomized controlled trial.","container-title":"Australian &amp; New Zealand Journal of Psychiatry","DOI":"10.3109/00048670903393613","ISSN":"0004-8674","issue":"1","journalAbbreviation":"Aust N Z J Psychiatry","language":"en","note":"publisher: SAGE Publications Ltd","page":"49-58","source":"SAGE Journals","title":"Three Year Follow-Up Study of an Integrated Supported Employment for Individuals with Severe Mental Illness","volume":"44","author":[{"family":"Tsang","given":"Hector W.H."},{"family":"Fung","given":"Kelvin M.T."},{"family":"Leung","given":"Ada Y."},{"family":"Li","given":"Sally M.Y."},{"family":"Cheung","given":"W.M."}],"issued":{"date-parts":[["2010",1,1]]}}}],"schema":"https://github.com/citation-style-language/schema/raw/master/csl-citation.json"}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favoured IPS and IPS plus over TVR at the first timepoint, and IPS plus over IPS at both timepoints. </w:t>
      </w:r>
    </w:p>
    <w:p w14:paraId="5A9B589A" w14:textId="16311F8F"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remaining eight studies showed positive effects for the Job Coach intervention (based on IPS)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{"citationID":"IezqTk15","properties":{"formattedCitation":"\\super 35\\nosupersub{}","plainCitation":"35","noteIndex":0},"citationItems":[{"id":109104,"uris":["http://zotero.org/users/5729315/items/M3RIRUR8"],"uri":["http://zotero.org/users/5729315/items/M3RIRUR8"],"itemData":{"id":109104,"type":"article-journal","abstract":"OBJECTIVE: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for </w:t>
      </w:r>
      <w:r w:rsidR="002A0C17" w:rsidRPr="00584BCB">
        <w:rPr>
          <w:rFonts w:ascii="Rubik" w:hAnsi="Rubik"/>
          <w:color w:val="000000" w:themeColor="text1"/>
          <w:sz w:val="22"/>
        </w:rPr>
        <w:t>the</w:t>
      </w:r>
      <w:r w:rsidRPr="00584BCB">
        <w:rPr>
          <w:rFonts w:ascii="Rubik" w:hAnsi="Rubik"/>
          <w:color w:val="000000" w:themeColor="text1"/>
          <w:sz w:val="22"/>
        </w:rPr>
        <w:t xml:space="preserve"> supported employment plus skills development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{"citationID":"WGCC9mVl","properties":{"formattedCitation":"\\super 42,43\\nosupersub{}","plainCitation":"42,43","noteIndex":0},"citationItems":[{"id":109092,"uris":["http://zotero.org/users/5729315/items/QPIAX8BY"],"uri":["http://zotero.org/users/5729315/items/QPIAX8BY"],"itemData":{"id":109092,"type":"article-journal","abstract":"Background\n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sz w:val="22"/>
          <w:vertAlign w:val="superscript"/>
        </w:rPr>
        <w:instrText>Β</w:instrText>
      </w:r>
      <w:r w:rsidRPr="00584BCB">
        <w:rPr>
          <w:rFonts w:ascii="Rubik" w:hAnsi="Rubik"/>
          <w:color w:val="000000" w:themeColor="text1"/>
          <w:sz w:val="22"/>
          <w:vertAlign w:val="superscript"/>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id":109073,"uris":["http://zotero.org/users/5729315/items/GGEWF2UJ"],"uri":["http://zotero.org/users/5729315/items/GGEWF2UJ"],"itemData":{"id":109073,"type":"article-journal","abstract":"The merging of evidence-based interventions with supported employment programs are being increasingly studied, with encouraging results. The current study is aimed at determining the impact of a brief cognitive behaviour therapy group intervention adapted for supported employment programs (called CBT-SE) on the work outcomes of: obtaining a competitive job, number of weeks worked, and number of hours worked per week. Participants were randomized to either receive the 8-session CBT-SE group on top of their supported employment program, or to only receive their support employment program. The results show that those who received CBT-SE were significantly more likely to obtain a job (75% vs 58%), and worked a significantly greater number of hours (24 vs 18</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hours per week). No differences were found in terms of number of weeks worked. Those in the CBT-SE condition also experienced a significant decrease in their negative symptoms over time, compared to the control condition. Although replication is needed, these results suggest that a brief cognitive-behavioural intervention specifically tailored to work-related issues can be greatly beneficial.","container-title":"Schizophrenia Research","DOI":"10.1016/j.schres.2019.10.063","ISSN":"0920-9964","journalAbbreviation":"Schizophrenia Research","language":"en","page":"126-133","source":"ScienceDirect","title":"Group cognitive behaviour therapy for supported employment – Results of a randomized controlled cohort trial","volume":"215","author":[{"family":"Lecomte","given":"Tania"},{"family":"Corbière","given":"Marc"},{"family":"Giguère","given":"Charles-Edouard"},{"family":"Titone","given":"Debra"},{"family":"Lysaker","given":"Paul"}],"issued":{"date-parts":[["2020",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42,43</w:t>
      </w:r>
      <w:r w:rsidRPr="00584BCB">
        <w:rPr>
          <w:rFonts w:ascii="Rubik" w:hAnsi="Rubik"/>
          <w:color w:val="000000" w:themeColor="text1"/>
          <w:sz w:val="22"/>
          <w:vertAlign w:val="superscript"/>
        </w:rPr>
        <w:fldChar w:fldCharType="end"/>
      </w:r>
      <w:r w:rsidR="002A0C17" w:rsidRPr="00584BCB">
        <w:rPr>
          <w:rFonts w:ascii="Rubik" w:hAnsi="Rubik"/>
          <w:color w:val="000000" w:themeColor="text1"/>
          <w:sz w:val="22"/>
        </w:rPr>
        <w:t xml:space="preserve">, although </w:t>
      </w:r>
      <w:r w:rsidR="008818D3" w:rsidRPr="00584BCB">
        <w:rPr>
          <w:rFonts w:ascii="Rubik" w:hAnsi="Rubik"/>
          <w:color w:val="000000" w:themeColor="text1"/>
          <w:sz w:val="22"/>
        </w:rPr>
        <w:t xml:space="preserve">the data for the Thinking Skills for Work Program </w:t>
      </w:r>
      <w:r w:rsidR="008D27E4" w:rsidRPr="00584BCB">
        <w:rPr>
          <w:rFonts w:ascii="Rubik" w:hAnsi="Rubik"/>
          <w:color w:val="000000" w:themeColor="text1"/>
          <w:sz w:val="22"/>
        </w:rPr>
        <w:t xml:space="preserve">at this time point </w:t>
      </w:r>
      <w:r w:rsidR="008818D3" w:rsidRPr="00584BCB">
        <w:rPr>
          <w:rFonts w:ascii="Rubik" w:hAnsi="Rubik"/>
          <w:color w:val="000000" w:themeColor="text1"/>
          <w:sz w:val="22"/>
        </w:rPr>
        <w:t>were unclear</w:t>
      </w:r>
      <w:r w:rsidR="008818D3" w:rsidRPr="00584BCB">
        <w:rPr>
          <w:rFonts w:ascii="Rubik" w:hAnsi="Rubik"/>
          <w:color w:val="000000" w:themeColor="text1"/>
          <w:sz w:val="22"/>
          <w:vertAlign w:val="superscript"/>
        </w:rPr>
        <w:fldChar w:fldCharType="begin"/>
      </w:r>
      <w:r w:rsidR="008818D3" w:rsidRPr="00584BCB">
        <w:rPr>
          <w:rFonts w:ascii="Rubik" w:hAnsi="Rubik"/>
          <w:color w:val="000000" w:themeColor="text1"/>
          <w:sz w:val="22"/>
          <w:vertAlign w:val="superscript"/>
        </w:rPr>
        <w:instrText xml:space="preserve"> ADDIN ZOTERO_ITEM CSL_CITATION {"citationID":"75lErN9s","properties":{"formattedCitation":"\\super 41\\nosupersub{}","plainCitation":"41","noteIndex":0},"citationItems":[{"id":109074,"uris":["http://zotero.org/users/5729315/items/GFEDKDKW"],"uri":["http://zotero.org/users/5729315/items/GFEDKDKW"],"itemData":{"id":109074,"type":"article-journal","abstract":"OBJECTIVE: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J."}],"issued":{"date-parts":[["2015",9,1]]}}}],"schema":"https://github.com/citation-style-language/schema/raw/master/csl-citation.json"} </w:instrText>
      </w:r>
      <w:r w:rsidR="008818D3" w:rsidRPr="00584BCB">
        <w:rPr>
          <w:rFonts w:ascii="Rubik" w:hAnsi="Rubik"/>
          <w:color w:val="000000" w:themeColor="text1"/>
          <w:sz w:val="22"/>
          <w:vertAlign w:val="superscript"/>
        </w:rPr>
        <w:fldChar w:fldCharType="separate"/>
      </w:r>
      <w:r w:rsidR="008818D3" w:rsidRPr="00584BCB">
        <w:rPr>
          <w:rFonts w:ascii="Rubik" w:hAnsi="Rubik"/>
          <w:color w:val="000000" w:themeColor="text1"/>
          <w:sz w:val="22"/>
          <w:vertAlign w:val="superscript"/>
        </w:rPr>
        <w:t>41</w:t>
      </w:r>
      <w:r w:rsidR="008818D3"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There was no evidence for the standard coaches vs </w:t>
      </w:r>
      <w:r w:rsidRPr="00584BCB">
        <w:rPr>
          <w:rFonts w:ascii="Rubik" w:hAnsi="Rubik"/>
          <w:color w:val="000000" w:themeColor="text1"/>
          <w:sz w:val="22"/>
        </w:rPr>
        <w:t>vocational coaches intervention</w:t>
      </w:r>
      <w:r w:rsidR="00E263CB" w:rsidRPr="00584BCB">
        <w:rPr>
          <w:rFonts w:ascii="Rubik" w:hAnsi="Rubik"/>
          <w:color w:val="000000" w:themeColor="text1"/>
          <w:vertAlign w:val="superscript"/>
        </w:rPr>
        <w:fldChar w:fldCharType="begin"/>
      </w:r>
      <w:r w:rsidR="00E263CB" w:rsidRPr="00584BCB">
        <w:rPr>
          <w:rFonts w:ascii="Rubik" w:hAnsi="Rubik"/>
          <w:color w:val="000000" w:themeColor="text1"/>
          <w:vertAlign w:val="superscript"/>
        </w:rPr>
        <w:instrText xml:space="preserve"> ADDIN ZOTERO_ITEM CSL_CITATION {"citationID":"5WwXAIFS","properties":{"formattedCitation":"\\super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00E263CB" w:rsidRPr="00584BCB">
        <w:rPr>
          <w:rFonts w:ascii="Rubik" w:hAnsi="Rubik"/>
          <w:color w:val="000000" w:themeColor="text1"/>
          <w:vertAlign w:val="superscript"/>
        </w:rPr>
        <w:fldChar w:fldCharType="separate"/>
      </w:r>
      <w:r w:rsidR="00E263CB" w:rsidRPr="00584BCB">
        <w:rPr>
          <w:rFonts w:ascii="Rubik" w:hAnsi="Rubik"/>
          <w:color w:val="000000" w:themeColor="text1"/>
          <w:vertAlign w:val="superscript"/>
        </w:rPr>
        <w:t>24</w:t>
      </w:r>
      <w:r w:rsidR="00E263CB" w:rsidRPr="00584BCB">
        <w:rPr>
          <w:rFonts w:ascii="Rubik" w:hAnsi="Rubik"/>
          <w:color w:val="000000" w:themeColor="text1"/>
          <w:vertAlign w:val="superscript"/>
        </w:rPr>
        <w:fldChar w:fldCharType="end"/>
      </w:r>
      <w:r w:rsidRPr="00584BCB">
        <w:rPr>
          <w:rFonts w:ascii="Rubik" w:hAnsi="Rubik"/>
          <w:color w:val="000000" w:themeColor="text1"/>
          <w:sz w:val="22"/>
        </w:rPr>
        <w:t xml:space="preserve"> or vocational empowerment photovoice intervention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{"citationID":"oC0sqUT2","properties":{"formattedCitation":"\\super 15\\nosupersub{}","plainCitation":"15","noteIndex":0},"citationItems":[{"id":109068,"uris":["http://zotero.org/users/5729315/items/A4WZ74IE"],"uri":["http://zotero.org/users/5729315/items/A4WZ74IE"],"itemData":{"id":109068,"type":"article-journal","abstract":"Objective: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There was some evidence for the virtual reality job interview training but no statistical analyses were undertaken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{"citationID":"IS2oNhbl","properties":{"formattedCitation":"\\super 17,34\\nosupersub{}","plainCitation":"17,34","noteIndex":0},"citationItems":[{"id":109056,"uris":["http://zotero.org/users/5729315/items/5DV9C4UC"],"uri":["http://zotero.org/users/5729315/items/5DV9C4UC"],"itemData":{"id":109056,"type":"article-journal","abstract":"Background\nIndividuals with schizophrenia have low employment rates and the job interview presents a critical barrier for them to obtain employment. Virtual reality training has demonstrated efficacy at improving interview skills and employment outcomes among multiple clinical populations. However, the effects of this training on individuals with schizophrenia are unknown. This study evaluated the efficacy of virtual reality job interview training (VR-JIT) at improving job interview skills and employment outcomes among individuals with schizophrenia in a small randomized controlled trial (n=21 VR-JIT trainees, n=11 waitlist controls).\nMethods\nTrainees completed up to 10h of virtual interviews using VR-JIT, while controls received services as usual. Primary outcome measures included two pre-test and two post-test video-recorded role-play interviews scored by blinded raters with expertise in human resources and self-reported interviewing self-confidence. Six-month follow-up data on employment outcomes were collected.\nResults\nTrainees reported that the intervention was easy-to-use, helpful, and prepared them for future interviews. Trainees demonstrated increased role-play scores between pre-test and post-test while controls did not (p=0.001). After accounting for neurocognition and months since prior employment, trainees had greater odds of receiving a job offer by 6month follow-up compared to controls (OR: 8.73, p=0.04) and more training was associated with fewer weeks until receiving a job offer (r=−0.63, p&lt;0.001).\nConclusions\nResults suggest that VR-JIT is acceptable to trainees and may be efficacious for improving job interview skills in individuals with schizophrenia. Moreover, trainees had greater odds of receiving a job offer by 6-month follow-up. Future studies could evaluate the effectiveness of VR-JIT within community-based services.","container-title":"Schizophrenia Research","DOI":"10.1016/j.schres.2015.05.022","ISSN":"0920-9964","issue":"1","journalAbbreviation":"Schizophrenia Research","language":"en","page":"86-91","source":"ScienceDirect","title":"Virtual reality job interview training and 6-month employment outcomes for individuals with schizophrenia seeking employment","volume":"166","author":[{"family":"Smith","given":"Matthew J."},{"family":"Fleming","given":"Michael F."},{"family":"Wright","given":"Michael A."},{"family":"Roberts","given":"Andrea G."},{"family":"Humm","given":"Laura Boteler"},{"family":"Olsen","given":"Dale"},{"family":"Bell","given":"Morris D."}],"issued":{"date-parts":[["2015",8,1]]}}},{"id":109083,"uris":["http://zotero.org/users/5729315/items/7YA6NIN4"],"uri":["http://zotero.org/users/5729315/items/7YA6NIN4"],"itemData":{"id":109083,"type":"article-journal","container-title":"Psychiatric Services","DOI":"10.1176/appi.ps.201400504","ISSN":"1075-2730","issue":"11","journalAbbreviation":"Psychiatric services (Washington, D.C.)","language":"English (US)","note":"publisher: American Psychiatric Association\nPMID: 26130002","page":"1173-1179","source":"www.scholars.northwestern.edu","title":"Job offers to individuals with severe mental illness after participation in virtual reality job interview training","volume":"66","author":[{"family":"Smith","given":"Matthew J."},{"family":"Fleming","given":"Michael F."},{"family":"Wright","given":"Michael A."},{"family":"Jordan","given":"Neil"},{"family":"Humm","given":"Laura Boteler"},{"family":"Olsen","given":"Dale"},{"family":"Bell","given":"Morris D."}],"issued":{"date-parts":[["2015",11,1]]}}}],"schema":"https://github.com/citation-style-language/schema/raw/master/csl-citation.json"}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17,34</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w:t>
      </w:r>
    </w:p>
    <w:p w14:paraId="04766FF4" w14:textId="184487E4" w:rsidR="002B610D" w:rsidRPr="00584BCB" w:rsidRDefault="00BB7967" w:rsidP="00BB7967">
      <w:pPr>
        <w:pStyle w:val="PlainParagraph"/>
        <w:spacing w:before="200"/>
        <w:ind w:left="0"/>
        <w:rPr>
          <w:color w:val="000000" w:themeColor="text1"/>
          <w:lang w:eastAsia="en-US"/>
        </w:rPr>
      </w:pPr>
      <w:r w:rsidRPr="00584BCB">
        <w:rPr>
          <w:rFonts w:ascii="Rubik Medium" w:hAnsi="Rubik Medium" w:cs="Rubik Medium"/>
          <w:color w:val="000000" w:themeColor="text1"/>
          <w:sz w:val="28"/>
          <w:szCs w:val="28"/>
        </w:rPr>
        <w:t>Supported employment with vocational support</w:t>
      </w:r>
    </w:p>
    <w:p w14:paraId="49DD101A" w14:textId="0CA28E94"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Three studies with people with psychosocial disability investigated whether the interventions impacted on </w:t>
      </w:r>
      <w:r w:rsidR="001007FB" w:rsidRPr="00584BCB">
        <w:rPr>
          <w:rFonts w:ascii="Rubik" w:hAnsi="Rubik"/>
          <w:color w:val="000000" w:themeColor="text1"/>
          <w:sz w:val="22"/>
        </w:rPr>
        <w:t>supported</w:t>
      </w:r>
      <w:r w:rsidRPr="00584BCB">
        <w:rPr>
          <w:rFonts w:ascii="Rubik" w:hAnsi="Rubik"/>
          <w:color w:val="000000" w:themeColor="text1"/>
          <w:sz w:val="22"/>
        </w:rPr>
        <w:t xml:space="preserve"> employment; two studies found that more participants in the control than IPS or Job Coach conditions were in </w:t>
      </w:r>
      <w:r w:rsidR="001007FB" w:rsidRPr="00584BCB">
        <w:rPr>
          <w:rFonts w:ascii="Rubik" w:hAnsi="Rubik"/>
          <w:color w:val="000000" w:themeColor="text1"/>
          <w:sz w:val="22"/>
        </w:rPr>
        <w:t>supported</w:t>
      </w:r>
      <w:r w:rsidRPr="00584BCB">
        <w:rPr>
          <w:rFonts w:ascii="Rubik" w:hAnsi="Rubik"/>
          <w:color w:val="000000" w:themeColor="text1"/>
          <w:sz w:val="22"/>
        </w:rPr>
        <w:t xml:space="preserve"> employment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{"citationID":"sv742CRH","properties":{"formattedCitation":"\\super 16\\nosupersub{}","plainCitation":"16","noteIndex":0},"citationItems":[{"id":109060,"uris":["http://zotero.org/users/5729315/items/3BJ5EDKM"],"uri":["http://zotero.org/users/5729315/items/3BJ5EDKM"],"itemData":{"id":109060,"type":"article-journal","abstract":"Objective:Employment is a key to participation in community life for people with severe mental illness, especially those who have been involved in the criminal justice system. Although the Individual Placement and Support (IPS) model of supported employment has been established as an evidence-based practice for helping people with severe mental illness attain competitive employment, little is known about whether IPS is effective for people with severe mental illness who have a history of arrest or incarceration. This study examined this question.Methods:A randomized controlled trial examined competitive employment outcomes for 85 participants with severe mental illness and justice involvement who were assigned to IPS or to a comparison group that offered a job club approach with peer support.Results:At one-year follow-up, a greater proportion of participants in the IPS group than in the comparison group had obtained competitive employment (31% versus 7%; p&lt;.01). The IPS and comparison groups did not differ significantly during follow-up in rates of hospitalization (51% versus 40%) or justice involvement—either arrests (24% versus 19%) or incarceration (2% for both groups).Conclusions:Although IPS was shown to be an effective model for helping justice-involved clients with severe mental illness achieve employment, the outcomes were modest compared with those in prior IPS studies. The IPS model provided a useful framework for employment services for this population, but augmentations may be needed.","container-title":"Psychiatric Services","DOI":"10.1176/appi.ps.201400510","ISSN":"1075-2730","issue":"10","journalAbbreviation":"PS","note":"publisher: American Psychiatric Publishing","page":"1027-1034","source":"ps.psychiatryonline.org (Atypon)","title":"A Controlled Trial of Supported Employment for People With Severe Mental Illness and Justice Involvement","volume":"66","author":[{"family":"Bond","given":"Gary R."},{"family":"Kim","given":"Sunny Jung"},{"family":"Becker","given":"Deborah R."},{"family":"Swanson","given":"Sarah J."},{"family":"Drake","given":"Robert E."},{"family":"Krzos","given":"Izabela M."},{"family":"Fraser","given":"Virginia V."},{"family":"O'Neill","given":"Sheila"},{"family":"Frounfelker","given":"Rochelle L."}],"issued":{"date-parts":[["2015",6,1]]}}}],"schema":"https://github.com/citation-style-language/schema/raw/master/csl-citation.json"}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16</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{"citationID":"9A10QOHy","properties":{"formattedCitation":"\\super 35,36\\nosupersub{}","plainCitation":"35,36","noteIndex":0},"citationItems":[{"id":109104,"uris":["http://zotero.org/users/5729315/items/M3RIRUR8"],"uri":["http://zotero.org/users/5729315/items/M3RIRUR8"],"itemData":{"id":109104,"type":"article-journal","abstract":"OBJECTIVE: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label":"page"},{"id":109110,"uris":["http://zotero.org/users/5729315/items/S5IGZXKT"],"uri":["http://zotero.org/users/5729315/items/S5IGZXKT"],"itemData":{"id":109110,"type":"article-journal","abstract":"Hoffmann H, Jäckel D, Glauser S, Kupper Z. A randomised controlled trial of the efficacy of supported employment. Objective: Although numerous randomised controlled trials indicated the superiority of supported employment (SE), we still have too little evidence that SE is more effective than traditional vocational rehabilitation programmes (TVR) in Western European countries with highly developed social security and welfare systems, sophisticated rehabilitation programmes and high thresholds to the open labour market. The aim of this study is to prove the efficacy of SE in Switzerland. Method: Following a 2-week intake assessment, 100 unemployed persons with stabilised severe mental illness (SMI) were randomly assigned to either the SE programme (n = 46) or to the most viable locally available TVR (n = 54). Follow-up lasted 24 months. Results: After the first year, the rate of competitive employment reached a mean level of 48.2% in the SE group and of 18.5% in the TVR group. 58.7% of the SE group were ever competitively employed as opposed to 25.9% of the TVR group. In the second year, SE group participants were competitively employed for 24.5 weeks as compared with 10.2 in the TVR group. The groups showed no significant differences in the non-vocational outcome criteria. Conclusion: The SE programme in Switzerland also proved more effective than TVR and seems to be applicable to the socio-economic context of Western European countries.","container-title":"Acta Psychiatrica Scandinavica","DOI":"https://doi.org/10.1111/j.1600-0447.2011.01780.x","ISSN":"1600-0447","issue":"2","language":"en","note":"_eprint: https://onlinelibrary.wiley.com/doi/pdf/10.1111/j.1600-0447.2011.01780.x","page":"157-167","source":"Wiley Online Library","title":"A randomised controlled trial of the efficacy of supported employment","volume":"125","author":[{"family":"Hoffmann","given":"H."},{"family":"Jäckel","given":"D."},{"family":"Glauser","given":"S."},{"family":"Kupper","given":"Z."}],"issued":{"date-parts":[["2012"]]}},"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35,36</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Oshima et al. found no significant difference in </w:t>
      </w:r>
      <w:r w:rsidR="001007FB" w:rsidRPr="00584BCB">
        <w:rPr>
          <w:rFonts w:ascii="Rubik" w:hAnsi="Rubik"/>
          <w:color w:val="000000" w:themeColor="text1"/>
          <w:sz w:val="22"/>
        </w:rPr>
        <w:t>supported</w:t>
      </w:r>
      <w:r w:rsidRPr="00584BCB">
        <w:rPr>
          <w:rFonts w:ascii="Rubik" w:hAnsi="Rubik"/>
          <w:color w:val="000000" w:themeColor="text1"/>
          <w:sz w:val="22"/>
        </w:rPr>
        <w:t xml:space="preserve"> employment rates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{"citationID":"s8qavhiH","properties":{"formattedCitation":"\\super 29\\nosupersub{}","plainCitation":"29","noteIndex":0},"citationItems":[{"id":109079,"uris":["http://zotero.org/users/5729315/items/JADYDV9W"],"uri":["http://zotero.org/users/5729315/items/JADYDV9W"],"itemData":{"id":109079,"type":"article-journal","abstract":"OBJECTIVE: The individual placement and support (IPS) model of supported employment has been implemented throughout North America and Europe, with multiple randomized controlled trials documenting its effectiveness, but it has not been widely implemented in Asia. To date, no rigorous evaluations of IPS have been conducted in Japan. We sought to evaluate whether IPS could be implemented in Japan and produce superior competitive employment outcomes compared with conventional vocational services.\nMETHOD: We employed a randomized controlled trial with a 6-month follow-up; 18 participants were randomly assigned to IPS and 19 to conventional vocational services. We assessed competitive employment rates, hours and weeks worked, and wages earned.\nRESULTS: Over the 6-month follow-up period, IPS participants were more likely than those in usual care to work competitively (44.4% for IPS vs. 10.5% for controls, p = .022), work more hours (mean of 168 hr for IPS vs. 41 hr for controls, p = .002), and work more weeks (mean of 6.4 weeks for IPS vs. 1.8 weeks for controls, p = .003).\nCONCLUSIONS AND IMPLICATIONS FOR PRACTICE: IPS can be implemented in Japan and yield better competitive employment outcomes than conventional vocational services. Adoption of the IPS model might have a dramatic impact on the mental health service system in Japan where psychiatric hospitals play a central role in mental health care.","container-title":"Psychiatric Rehabilitation Journal","DOI":"10.1037/prj0000085","ISSN":"1559-3126","issue":"2","journalAbbreviation":"Psychiatr Rehabil J","language":"eng","note":"PMID: 24912063","page":"137-143","source":"PubMed","title":"A randomized controlled trial of individual placement and support in Japan","volume":"37","author":[{"family":"Oshima","given":"Iwao"},{"family":"Sono","given":"Tamaki"},{"family":"Bond","given":"Gary R."},{"family":"Nishio","given":"Masaaki"},{"family":"Ito","given":"Junichiro"}],"issued":{"date-parts":[["2014",6]]}}}],"schema":"https://github.com/citation-style-language/schema/raw/master/csl-citation.json"}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29</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rPr>
        <w:t xml:space="preserve"> </w:t>
      </w:r>
    </w:p>
    <w:p w14:paraId="355C0B28" w14:textId="6E5A25C8" w:rsidR="00BB7967" w:rsidRPr="00584BCB" w:rsidRDefault="00BB7967" w:rsidP="00BB7967">
      <w:pPr>
        <w:pStyle w:val="PlainParagraph"/>
        <w:spacing w:before="200"/>
        <w:ind w:left="0"/>
        <w:rPr>
          <w:rFonts w:ascii="Rubik" w:hAnsi="Rubik"/>
          <w:b/>
          <w:bCs/>
          <w:color w:val="000000" w:themeColor="text1"/>
        </w:rPr>
      </w:pPr>
      <w:r w:rsidRPr="00584BCB">
        <w:rPr>
          <w:rFonts w:ascii="Rubik Medium" w:hAnsi="Rubik Medium" w:cs="Rubik Medium"/>
          <w:color w:val="000000" w:themeColor="text1"/>
          <w:sz w:val="28"/>
          <w:szCs w:val="28"/>
        </w:rPr>
        <w:t xml:space="preserve">Any paid employment participation </w:t>
      </w:r>
    </w:p>
    <w:p w14:paraId="12165C1B" w14:textId="65CE9963" w:rsidR="00BD1825" w:rsidRPr="00584BCB" w:rsidRDefault="00BD1825" w:rsidP="00BD1825">
      <w:pPr>
        <w:rPr>
          <w:rFonts w:ascii="Rubik" w:hAnsi="Rubik"/>
          <w:color w:val="000000" w:themeColor="text1"/>
          <w:sz w:val="22"/>
        </w:rPr>
      </w:pPr>
      <w:r w:rsidRPr="00584BCB">
        <w:rPr>
          <w:rFonts w:ascii="Rubik" w:hAnsi="Rubik"/>
          <w:color w:val="000000" w:themeColor="text1"/>
          <w:sz w:val="22"/>
        </w:rPr>
        <w:t>Two studies with people with psychosocial disability reported positive effect on paid employment; Davis et al using vocational coaches</w:t>
      </w:r>
      <w:r w:rsidR="000F7ABB" w:rsidRPr="00584BCB">
        <w:rPr>
          <w:rFonts w:ascii="Rubik" w:hAnsi="Rubik"/>
          <w:color w:val="000000" w:themeColor="text1"/>
          <w:vertAlign w:val="superscript"/>
        </w:rPr>
        <w:fldChar w:fldCharType="begin"/>
      </w:r>
      <w:r w:rsidR="000F7ABB" w:rsidRPr="00584BCB">
        <w:rPr>
          <w:rFonts w:ascii="Rubik" w:hAnsi="Rubik"/>
          <w:color w:val="000000" w:themeColor="text1"/>
          <w:vertAlign w:val="superscript"/>
        </w:rPr>
        <w:instrText xml:space="preserve"> ADDIN ZOTERO_ITEM CSL_CITATION {"citationID":"5WwXAIFS","properties":{"formattedCitation":"\\super 24\\nosupersub{}","plainCitation":"24","noteIndex":0},"citationItems":[{"id":109107,"uris":["http://zotero.org/users/5729315/items/8JZDQPTC"],"uri":["http://zotero.org/users/5729315/items/8JZDQPTC"],"itemData":{"id":109107,"type":"article-journal","abstract":"OBJECTIVE: The purpose of this study was to determine whether vocational supports for emerging adults with serious mental health conditions who are at high risk for rearrest are more effectively served within Multisystemic Therapy for Emerging Adults (MST-EA) through vocationally enhanced MST-EA Coaches or through referral to state vocational rehabilitation services.\nMETHOD: A pilot randomized controlled trial examined two MST-EA Coaching approaches. In the Standard Coach + VR condition (n = 16), MST-EA Coaches delivered standard skills curricula to participants and referred them to state vocational rehabilitation (VR) services for vocational supports. In the Vocational Coach (VC) condition (n = 16), MST-EA Coaches delivered the standard skills curricula enhanced with extensive education/employment components. Analyses included pre- to posttreatment comparisons of vocational outcomes, and between groups comparisons of fidelity, satisfaction, and services utilization.\nRESULTS: Those in the VC condition had a 12-fold increase in the odds of posttreatment vocational activity compared with those in the Standard Coach + VR condition (92.9 vs. 57.1% employed or in school, respectively). Subgroup analyses of those who engaged in Coaching showed that there was specifically an increase in the odds of posttreatment educational engagement among those in the VC condition compared with those in Standard Coach + VR.\nCONCLUSIONS AND IMPLICATIONS FOR PRACTICE: Based on the strength of the findings in this small pilot study the VC should be included in future clinical trials of MST-EA to maximize treatment impact for supporting emerging adult vocational functioning and thus reducing antisocial behavior. (PsycINFO Database Record (c) 2018 APA, all rights reserved).","container-title":"Psychiatric Rehabilitation Journal","DOI":"10.1037/prj0000323","ISSN":"1559-3126","issue":"4","journalAbbreviation":"Psychiatr Rehabil J","language":"eng","note":"PMID: 30507241\nPMCID: PMC6776998","page":"266-276","source":"PubMed","title":"Vocational coaches for justice-involved emerging adults","volume":"41","author":[{"family":"Davis","given":"Maryann"},{"family":"Sheidow","given":"Ashli J."},{"family":"McCart","given":"Michael R."},{"family":"Perrault","given":"Rachael T."}],"issued":{"date-parts":[["2018",12]]}}}],"schema":"https://github.com/citation-style-language/schema/raw/master/csl-citation.json"} </w:instrText>
      </w:r>
      <w:r w:rsidR="000F7ABB" w:rsidRPr="00584BCB">
        <w:rPr>
          <w:rFonts w:ascii="Rubik" w:hAnsi="Rubik"/>
          <w:color w:val="000000" w:themeColor="text1"/>
          <w:vertAlign w:val="superscript"/>
        </w:rPr>
        <w:fldChar w:fldCharType="separate"/>
      </w:r>
      <w:r w:rsidR="000F7ABB" w:rsidRPr="00584BCB">
        <w:rPr>
          <w:rFonts w:ascii="Rubik" w:hAnsi="Rubik"/>
          <w:color w:val="000000" w:themeColor="text1"/>
          <w:vertAlign w:val="superscript"/>
        </w:rPr>
        <w:t>24</w:t>
      </w:r>
      <w:r w:rsidR="000F7ABB" w:rsidRPr="00584BCB">
        <w:rPr>
          <w:rFonts w:ascii="Rubik" w:hAnsi="Rubik"/>
          <w:color w:val="000000" w:themeColor="text1"/>
          <w:vertAlign w:val="superscript"/>
        </w:rPr>
        <w:fldChar w:fldCharType="end"/>
      </w:r>
      <w:r w:rsidRPr="00584BCB">
        <w:rPr>
          <w:rFonts w:ascii="Rubik" w:hAnsi="Rubik"/>
          <w:color w:val="000000" w:themeColor="text1"/>
          <w:sz w:val="22"/>
        </w:rPr>
        <w:t xml:space="preserve"> and Twamley et al using IPS</w:t>
      </w:r>
      <w:r w:rsidR="00B241F2" w:rsidRPr="00584BCB">
        <w:rPr>
          <w:rFonts w:ascii="Rubik" w:hAnsi="Rubik"/>
          <w:color w:val="000000" w:themeColor="text1"/>
          <w:sz w:val="22"/>
        </w:rPr>
        <w: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{"citationID":"RWjhWQy0","properties":{"formattedCitation":"\\super 19\\nosupersub{}","plainCitation":"19","noteIndex":0},"citationItems":[{"id":109095,"uris":["http://zotero.org/users/5729315/items/TJN67E5J"],"uri":["http://zotero.org/users/5729315/items/TJN67E5J"],"itemData":{"id":109095,"type":"article-journal","abstract":"Objective\nSupported employment is the evidence-based treatment of choice for assisting individuals with severe mental illness to achieve competitive employment, but few supported employment programs specifically target older clients with psychiatric illness. The purpose of this study was to evaluate the efficacy of supported employment for middle-aged or older people with schizophrenia.\nMethod\nParticipants included 58 outpatients with schizophrenia or schizoaffective disorder aged 45 or older who were recruited from a community mental health clinic. Participants were randomly assigned to receive Individual Placement and Support (IPS; the manualized version of supported employment) or conventional vocational rehabilitation (CVR) for one year, and completed assessments at baseline, six months, and twelve months.\nResults\nIPS was superior to CVR on nearly all work outcome measures, including attainment of competitive employment, weeks worked, and wages earned. Fifty-seven percent of IPS participants worked competitively, compared with 29% of CVR participants; 70% of IPS participants obtained any paid work, compared with 36% of CVR participants. Within the IPS group, better baseline functional capacity (as measured by the UCSD Performance Based Skills Assessment) and more recent employment were modestly associated with better work outcomes.\nConclusions\nMiddle-aged and older adults with schizophrenia are good candidates for supported employment services.","container-title":"Schizophrenia Research","DOI":"10.1016/j.schres.2011.11.036","ISSN":"0920-9964","issue":"1","journalAbbreviation":"Schizophrenia Research","language":"en","page":"100-104","source":"ScienceDirect","title":"The efficacy of supported employment for middle-aged and older people with schizophrenia","volume":"135","author":[{"family":"Twamley","given":"Elizabeth W."},{"family":"Vella","given":"Lea"},{"family":"Burton","given":"Cynthia Z."},{"family":"Becker","given":"Deborah R."},{"family":"Bell","given":"Morris D."},{"family":"Jeste","given":"Dilip V."}],"issued":{"date-parts":[["2012",3,1]]}}}],"schema":"https://github.com/citation-style-language/schema/raw/master/csl-citation.json"}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19</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p>
    <w:p w14:paraId="2B9DCAD1" w14:textId="0484C67E" w:rsidR="00BB7967" w:rsidRPr="00584BCB" w:rsidRDefault="00BB7967" w:rsidP="00BB7967">
      <w:pPr>
        <w:pStyle w:val="PlainParagraph"/>
        <w:spacing w:before="200"/>
        <w:ind w:left="0"/>
        <w:rPr>
          <w:color w:val="000000" w:themeColor="text1"/>
          <w:lang w:eastAsia="en-US"/>
        </w:rPr>
      </w:pPr>
      <w:r w:rsidRPr="00584BCB">
        <w:rPr>
          <w:rFonts w:ascii="Rubik Medium" w:hAnsi="Rubik Medium" w:cs="Rubik Medium"/>
          <w:color w:val="000000" w:themeColor="text1"/>
          <w:sz w:val="28"/>
          <w:szCs w:val="28"/>
        </w:rPr>
        <w:t xml:space="preserve">Open employment participation in people with autism </w:t>
      </w:r>
    </w:p>
    <w:p w14:paraId="46DBD75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findings of all three studies with people with autism were in favour of Project Search and ASD Supports for open employment at the end of intervention (12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{"citationID":"7xtWMeIl","properties":{"formattedCitation":"\\super 31\\uc0\\u8211{}33\\nosupersub{}","plainCitation":"31–33","noteIndex":0},"citationItems":[{"id":109048,"uris":["http://zotero.org/users/5729315/items/Y8334Z4B"],"uri":["http://zotero.org/users/5729315/items/Y8334Z4B"],"itemData":{"id":109048,"type":"article-journal","abstract":"The purpose of this study was to develop and investigate an employer-based 9-month intervention for high school youth with autism spectrum disorder to learn job skills and acquire employment. The intervention modified a program titled Project SEARCH and incorporated the use of applied behavior analysis to develop Project SEARCH plus Autism Spectrum Disorder Supports. A randomized clinical trial compared the implementation of Project SEARCH plus Autism Spectrum Disorder Supports with high school special education services as usual. Participants were 49 high-school-aged individuals between the ages of 18 and 21</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years diagnosed with an autism spectrum disorder and eligible for supported employment. Students also had to demonstrate independent self-care. At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90% of the treatment group acquired competitive, part-time employment earning US$9.53–US$10.66</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per hour. Furthermore, 87% of those individuals maintained employment at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control group’s employment outcomes were 6% acquiring employment by 3</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and 12% acquiring employment by 12</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months post-graduation. The positive employment outcomes generated by the treatment group provide evidence that youth with autism spectrum disorder can gain and maintain competitive employment. Additionally, there is evidence that they are able to advance within that time toward more weekly hours worked, while they also displayed increasing independence in the work setting.","container-title":"Autism","DOI":"10.1177/1362361316635826","ISSN":"1362-3613","issue":"3","journalAbbreviation":"Autism","language":"en","note":"publisher: SAGE Publications Ltd","page":"276-290","source":"SAGE Journals","title":"Effects of an employer-based intervention on employment outcomes for youth with significant support needs due to autism","volume":"21","author":[{"family":"Wehman","given":"Paul"},{"family":"Schall","given":"Carol M"},{"family":"McDonough","given":"Jennifer"},{"family":"Graham","given":"Carolyn"},{"family":"Brooke","given":"Valerie"},{"family":"Riehle","given":"J Erin"},{"family":"Brooke","given":"Alissa"},{"family":"Ham","given":"Whitney"},{"family":"Lau","given":"Stephanie"},{"family":"Allen","given":"Jaclyn"},{"family":"Avellone","given":"Lauren"}],"issued":{"date-parts":[["2017",4,1]]}},"label":"page"},{"id":109046,"uris":["http://zotero.org/users/5729315/items/UZKX84I2"],"uri":["http://zotero.org/users/5729315/items/UZKX84I2"],"itemData":{"id":109046,"type":"article-journal","abstract":"This study reports the results of a multi-site, parallel block randomized clinical trial to expand the previous findings regarding the implementation of Project SEARCH plus ASD Supports (PS</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ASD) on employment outcomes upon graduation from high school. Participants were 156 individuals with significant impact from ASD between the ages of 18–21. There was a significant difference between treatment and control groups with 73.4% of the treatment group acquiring competitive employment at or above minimum wage by 1-year after graduation compared to 17% of the control group for whom data was provided. At 1-year, employed treatment group participants worked an average of 21.2 h per week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9) for a mean hourly wage of $9.61 per hour (SD</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w:instrText>
      </w:r>
      <w:r w:rsidRPr="00584BCB">
        <w:rPr>
          <w:rFonts w:ascii="Times New Roman" w:hAnsi="Times New Roman" w:cs="Times New Roman"/>
          <w:color w:val="000000" w:themeColor="text1"/>
          <w:sz w:val="22"/>
          <w:vertAlign w:val="superscript"/>
        </w:rPr>
        <w:instrText> </w:instrText>
      </w:r>
      <w:r w:rsidRPr="00584BCB">
        <w:rPr>
          <w:rFonts w:ascii="Rubik" w:hAnsi="Rubik"/>
          <w:color w:val="000000" w:themeColor="text1"/>
          <w:sz w:val="22"/>
          <w:vertAlign w:val="superscript"/>
        </w:rPr>
        <w:instrText xml:space="preserve">$1.55).","container-title":"Journal of Autism and Developmental Disorders","DOI":"10.1007/s10803-019-03940-2","ISSN":"1573-3432","issue":"6","journalAbbreviation":"J Autism Dev Disord","language":"en","page":"1882-1897","source":"Springer Link","title":"Competitive Employment for Transition-Aged Youth with Significant Impact from Autism: A Multi-site Randomized Clinical Trial","title-short":"Competitive Employment for Transition-Aged Youth with Significant Impact from Autism","volume":"50","author":[{"family":"Wehman","given":"Paul"},{"family":"Schall","given":"Carol"},{"family":"McDonough","given":"Jennifer"},{"family":"Sima","given":"Adam"},{"family":"Brooke","given":"Alissa"},{"family":"Ham","given":"Whitney"},{"family":"Whittenburg","given":"Holly"},{"family":"Brooke","given":"Valerie"},{"family":"Avellone","given":"Lauren"},{"family":"Riehle","given":"Erin"}],"issued":{"date-parts":[["2020",6,1]]}},"label":"page"},{"id":109052,"uris":["http://zotero.org/users/5729315/items/7ANZW874"],"uri":["http://zotero.org/users/5729315/items/7ANZW874"],"itemData":{"id":109052,"type":"article-journal","abstract":"Introduction: Youth with autism spectrum disorder (ASD) face high rates of unemployment, with unique challenges for military-dependent and -connected youth with ASD. This paper reports preliminary findings from Year One of a randomized waitlist controlled trial investigating the efficacy of the Project SEARCH + ASD Supports (PS + ASD) intervention model for military-dependent and -connected youth with ASD. Methods: Treatment group participants (n = 6) participated in internships at a military installation in the southeastern United States; waitlist group participants (n = 8) received special education transition services at their local high schools. Employment outcome data were collected at 12 months for both groups. Results: Fourteen unique internship experiences were developed across seven business partner organizations on the military installation during Year One. Five of six PS + ASD treatment group participants obtained competitive integrated employment for an overall employment rate of 83.3%. Four of the positions were federal jobs. None of the waitlist group participants obtained competitive integrated employment during the same period. Conclusions: Initial results are promising and suggest that the PS + ASD model may help to meet the transition needs of military-dependent and -connected youth with ASD and the employment needs of local military communities.","container-title":"Military Medicine","DOI":"10.1093/milmed/usz224","ISSN":"0026-4075","issue":"Supplement_1","journalAbbreviation":"Military Medicine","page":"663-668","source":"Silverchair","title":"Helping High School-Aged Military Dependents With Autism Gain Employment Through Project SEARCH + ASD Supports","volume":"185","author":[{"family":"Whittenburg","given":"Holly N"},{"family":"Schall","given":"Carol M"},{"family":"Wehman","given":"Paul"},{"family":"McDonough","given":"Jennifer"},{"family":"DuBois","given":"Thomas"}],"issued":{"date-parts":[["2020",1,7]]}},"label":"page"}],"schema":"https://github.com/citation-style-language/schema/raw/master/csl-citation.json"}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31–33</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 xml:space="preserve">although one study was small and did not perform statistical analysis (Table 6). </w:t>
      </w:r>
    </w:p>
    <w:p w14:paraId="6A757A31" w14:textId="77777777" w:rsidR="008C503C" w:rsidRPr="00584BCB" w:rsidRDefault="008C503C" w:rsidP="002E7B4E">
      <w:pPr>
        <w:pStyle w:val="Heading1"/>
        <w:rPr>
          <w:color w:val="000000" w:themeColor="text1"/>
        </w:rPr>
        <w:sectPr w:rsidR="008C503C" w:rsidRPr="00584BCB" w:rsidSect="00237202">
          <w:pgSz w:w="12240" w:h="15840"/>
          <w:pgMar w:top="1440" w:right="1440" w:bottom="1440" w:left="1440" w:header="720" w:footer="720" w:gutter="0"/>
          <w:cols w:num="2" w:space="709"/>
        </w:sectPr>
      </w:pPr>
      <w:bookmarkStart w:id="33" w:name="_Toc66716611"/>
    </w:p>
    <w:p w14:paraId="0A20EAF4" w14:textId="54E4D969" w:rsidR="002E7B4E" w:rsidRPr="00584BCB" w:rsidRDefault="002E7B4E" w:rsidP="002E7B4E">
      <w:pPr>
        <w:pStyle w:val="Heading1"/>
        <w:rPr>
          <w:rFonts w:ascii="Rubik" w:hAnsi="Rubik"/>
          <w:bCs/>
          <w:color w:val="000000" w:themeColor="text1"/>
          <w:sz w:val="22"/>
          <w:szCs w:val="22"/>
        </w:rPr>
      </w:pPr>
      <w:r w:rsidRPr="00584BCB">
        <w:rPr>
          <w:color w:val="000000" w:themeColor="text1"/>
        </w:rPr>
        <w:lastRenderedPageBreak/>
        <w:t>Synthesis of effects – secondary outcomes of this review</w:t>
      </w:r>
      <w:bookmarkEnd w:id="33"/>
      <w:r w:rsidRPr="00584BCB">
        <w:rPr>
          <w:color w:val="000000" w:themeColor="text1"/>
        </w:rPr>
        <w:t xml:space="preserve"> </w:t>
      </w:r>
    </w:p>
    <w:p w14:paraId="3C178C33" w14:textId="7A25797E" w:rsidR="002E7B4E" w:rsidRPr="00584BCB" w:rsidRDefault="002E7B4E" w:rsidP="00BD1825">
      <w:pPr>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 xml:space="preserve">Sustained employment </w:t>
      </w:r>
    </w:p>
    <w:p w14:paraId="6226C845" w14:textId="39B589A4"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Only one study reported employment data 12 months or more post-intervention; the </w:t>
      </w:r>
      <w:r w:rsidR="00A37272" w:rsidRPr="00584BCB">
        <w:rPr>
          <w:rFonts w:ascii="Rubik" w:hAnsi="Rubik"/>
          <w:color w:val="000000" w:themeColor="text1"/>
          <w:sz w:val="22"/>
        </w:rPr>
        <w:t xml:space="preserve">Thinking Skills for Work Program </w:t>
      </w:r>
      <w:r w:rsidRPr="00584BCB">
        <w:rPr>
          <w:rFonts w:ascii="Rubik" w:hAnsi="Rubik"/>
          <w:color w:val="000000" w:themeColor="text1"/>
          <w:sz w:val="22"/>
        </w:rPr>
        <w:t xml:space="preserve">study conducted by McGurk et al., </w:t>
      </w:r>
      <w:r w:rsidR="006F3290" w:rsidRPr="00584BCB">
        <w:rPr>
          <w:rFonts w:ascii="Rubik" w:hAnsi="Rubik"/>
          <w:color w:val="000000" w:themeColor="text1"/>
          <w:sz w:val="22"/>
        </w:rPr>
        <w:t xml:space="preserve">showed that </w:t>
      </w:r>
      <w:r w:rsidRPr="00584BCB">
        <w:rPr>
          <w:rFonts w:ascii="Rubik" w:hAnsi="Rubik"/>
          <w:color w:val="000000" w:themeColor="text1"/>
          <w:sz w:val="22"/>
        </w:rPr>
        <w:t>there were significantly more IPS participants than control participants in open employment from 0 to 24 months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{"citationID":"75lErN9s","properties":{"formattedCitation":"\\super 41\\nosupersub{}","plainCitation":"41","noteIndex":0},"citationItems":[{"id":109074,"uris":["http://zotero.org/users/5729315/items/GFEDKDKW"],"uri":["http://zotero.org/users/5729315/items/GFEDKDKW"],"itemData":{"id":109074,"type":"article-journal","abstract":"OBJECTIVE: Cognitive impairment presents a serious and common obstacle to competitive employment for people with severe mental illness, including those who receive supported employment. This study evaluated a cognitive enhancement program to improve cognition and competitive employment in people with mental illness who had not responded to supported employment.\nMETHOD: In a randomized controlled trial, 107 people with severe mental illness (46% with schizophrenia or schizoaffective disorder) who had not obtained or kept competitive work despite receiving high-fidelity supported employment were assigned to receive either enhanced supported employment (with specialized cognitive training of employment specialists) or enhanced supported employment plus the Thinking Skills for Work program, a standardized cognitive enhancement program that includes practice of computer cognitive exercises, strategy coaching, and teaching of coping and compensatory strategies. Research assistants tracked competitive employment weekly for 2 years, and assessors blind to treatment assignment evaluated cognitive functioning at baseline, at the end of cognitive enhancement training, and 12 and 24 months after baseline.\nRESULTS: Participants in the Thinking Skills for Work group improved more than those in the enhanced supported employment only group on measures of cognitive functioning and had consistently better competitive employment outcomes during the follow-up period, including in jobs obtained (60% compared with 36%), weeks worked (23.9 compared with 9.2), and wages earned ($3,421 compared with $1,728).\nCONCLUSIONS: The findings suggest that cognitive enhancement interventions can reduce cognitive impairments that are obstacles to work, thereby increasing the number of people who can benefit from supported employment and competitive work.","container-title":"The American Journal of Psychiatry","DOI":"10.1176/appi.ajp.2015.14030374","ISSN":"1535-7228","issue":"9","journalAbbreviation":"Am J Psychiatry","language":"eng","note":"PMID: 25998278","page":"852-861","source":"PubMed","title":"Cognitive Enhancement Treatment for People With Mental Illness Who Do Not Respond to Supported Employment: A Randomized Controlled Trial","title-short":"Cognitive Enhancement Treatment for People With Mental Illness Who Do Not Respond to Supported Employment","volume":"172","author":[{"family":"McGurk","given":"Susan R."},{"family":"Mueser","given":"Kim T."},{"family":"Xie","given":"Haiyi"},{"family":"Welsh","given":"Jason"},{"family":"Kaiser","given":"Susan"},{"family":"Drake","given":"Robert E."},{"family":"Becker","given":"Deborah R."},{"family":"Bailey","given":"Edward"},{"family":"Fraser","given":"Ginnie"},{"family":"Wolfe","given":"Rosemarie"},{"family":"McHugo","given":"Gregory J."}],"issued":{"date-parts":[["2015",9,1]]}}}],"schema":"https://github.com/citation-style-language/schema/raw/master/csl-citation.json"}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41</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 xml:space="preserve">(Table 5). </w:t>
      </w:r>
    </w:p>
    <w:p w14:paraId="038EEC52" w14:textId="2B9FD2F5" w:rsidR="002E7B4E" w:rsidRPr="00584BCB" w:rsidRDefault="002E7B4E" w:rsidP="00BD1825">
      <w:pPr>
        <w:rPr>
          <w:rFonts w:ascii="Rubik Medium" w:hAnsi="Rubik Medium" w:cs="Rubik Medium"/>
          <w:color w:val="000000" w:themeColor="text1"/>
          <w:sz w:val="28"/>
          <w:szCs w:val="28"/>
        </w:rPr>
      </w:pPr>
      <w:r w:rsidRPr="00584BCB">
        <w:rPr>
          <w:rFonts w:ascii="Rubik Medium" w:hAnsi="Rubik Medium" w:cs="Rubik Medium"/>
          <w:color w:val="000000" w:themeColor="text1"/>
          <w:sz w:val="28"/>
          <w:szCs w:val="28"/>
        </w:rPr>
        <w:t>Job satisfaction, self-esteem and self-efficacy</w:t>
      </w:r>
    </w:p>
    <w:p w14:paraId="4EFF20A2" w14:textId="46DA5CD6" w:rsidR="00BD1825" w:rsidRPr="00584BCB" w:rsidRDefault="00BD1825" w:rsidP="00BD1825">
      <w:pPr>
        <w:rPr>
          <w:rFonts w:ascii="Rubik" w:hAnsi="Rubik"/>
          <w:color w:val="000000" w:themeColor="text1"/>
          <w:sz w:val="22"/>
        </w:rPr>
      </w:pPr>
      <w:r w:rsidRPr="00584BCB">
        <w:rPr>
          <w:rFonts w:ascii="Rubik" w:hAnsi="Rubik"/>
          <w:color w:val="000000" w:themeColor="text1"/>
          <w:sz w:val="22"/>
        </w:rPr>
        <w:t>Heslin and al., reported no significant difference in job satisfaction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{"citationID":"6D9ZaFEA","properties":{"formattedCitation":"\\super 28\\nosupersub{}","plainCitation":"28","noteIndex":0},"citationItems":[{"id":109076,"uris":["http://zotero.org/users/5729315/items/EQ2U669A"],"uri":["http://zotero.org/users/5729315/items/EQ2U669A"],"itemData":{"id":109076,"type":"article-journal","abstract":"Studies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28</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Three studies assessed self-esteem using the Rosenberg Self Esteem</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{"citationID":"RiQjmF17","properties":{"formattedCitation":"\\super 45\\nosupersub{}","plainCitation":"45","noteIndex":0},"citationItems":[{"id":110119,"uris":["http://zotero.org/users/5729315/items/D5I9APMM"],"uri":["http://zotero.org/users/5729315/items/D5I9APMM"],"itemData":{"id":110119,"type":"book","event-place":"Princeton","publisher":"Princeton University Press","publisher-place":"Princeton","title":"Society and the adolescent self-image","author":[{"family":"Rosenberg","given":"M."}],"issued":{"date-parts":[["1965"]]}}}],"schema":"https://github.com/citation-style-language/schema/raw/master/csl-citation.json"}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questionnaire and found no differences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{"citationID":"rlSiQP53","properties":{"formattedCitation":"\\super 28,44\\nosupersub{}","plainCitation":"28,44","noteIndex":0},"citationItems":[{"id":109076,"uris":["http://zotero.org/users/5729315/items/EQ2U669A"],"uri":["http://zotero.org/users/5729315/items/EQ2U669A"],"itemData":{"id":109076,"type":"article-journal","abstract":"Studies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label":"page"},{"id":109112,"uris":["http://zotero.org/users/5729315/items/DYEDJT92"],"uri":["http://zotero.org/users/5729315/items/DYEDJT92"],"itemData":{"id":109112,"type":"article-journal","abstract":"BACKGROUND: There is evidence from North American trials that supported employment using the individual placement and support (IPS) model is effective in helping individuals with severe mental illness gain competitive employment. There have been few trials in other parts of the world.\nAIMS: To investigate the effectiveness and cost-effectiveness of IPS in the UK.\nMETHOD: Individuals with severe mental illness in South London were randomised to IPS or local traditional vocational services (treatment as usual) (ISRCTN96677673).\nRESULTS: Two hundred and nineteen participants were randomised, and 90% assessed 1 year later. There were no significant differences between the treatment as usual and intervention groups in obtaining competitive employment (13% in the intervention group and 7% in controls; risk ratio 1.35, 95% CI 0.95-1.93, P = 0.15), nor in secondary outcomes.\nCONCLUSIONS: There was no evidence that IPS was of significant benefit in achieving competitive employment for individuals in South London at 1-year follow-up, which may reflect suboptimal implementation. Implementation of IPS can be challenging in the UK context where IPS is not structurally integrated with mental health services, and economic disincentives may lead to lower levels of motivation in individuals with severe mental illness and psychiatric professionals.","container-title":"The British Journal of Psychiatry: The Journal of Mental Science","DOI":"10.1192/bjp.bp.108.061465","ISSN":"1472-1465","issue":"5","journalAbbreviation":"Br J Psychiatry","language":"eng","note":"PMID: 20435968\nPMCID: PMC2862060","page":"404-411","source":"PubMed","title":"Supported employment: randomised controlled trial","title-short":"Supported employment","volume":"196","author":[{"family":"Howard","given":"Louise M."},{"family":"Heslin","given":"Margaret"},{"family":"Leese","given":"Morven"},{"family":"McCrone","given":"Paul"},{"family":"Rice","given":"Christopher"},{"family":"Jarrett","given":"Manuela"},{"family":"Spokes","given":"Terry"},{"family":"Huxley","given":"Peter"},{"family":"Thornicroft","given":"Graham"}],"issued":{"date-parts":[["2010",5]]}},"label":"page"}],"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28,44</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{"citationID":"nMJDeFCX","properties":{"formattedCitation":"\\super 37\\nosupersub{}","plainCitation":"37","noteIndex":0},"citationItems":[{"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37</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Russinova et al.</w:t>
      </w:r>
      <w:r w:rsidR="00E97EA6" w:rsidRPr="00584BCB">
        <w:rPr>
          <w:rFonts w:ascii="Rubik" w:hAnsi="Rubik"/>
          <w:color w:val="000000" w:themeColor="text1"/>
          <w:sz w:val="22"/>
          <w:vertAlign w:val="superscript"/>
        </w:rPr>
        <w:t xml:space="preserve"> </w:t>
      </w:r>
      <w:r w:rsidR="00E97EA6" w:rsidRPr="00584BCB">
        <w:rPr>
          <w:rFonts w:ascii="Rubik" w:hAnsi="Rubik"/>
          <w:color w:val="000000" w:themeColor="text1"/>
          <w:sz w:val="22"/>
          <w:vertAlign w:val="superscript"/>
        </w:rPr>
        <w:fldChar w:fldCharType="begin"/>
      </w:r>
      <w:r w:rsidR="00E97EA6" w:rsidRPr="00584BCB">
        <w:rPr>
          <w:rFonts w:ascii="Rubik" w:hAnsi="Rubik"/>
          <w:color w:val="000000" w:themeColor="text1"/>
          <w:sz w:val="22"/>
          <w:vertAlign w:val="superscript"/>
        </w:rPr>
        <w:instrText xml:space="preserve"> ADDIN ZOTERO_ITEM CSL_CITATION {"citationID":"i1Ebqx8T","properties":{"formattedCitation":"\\super 15\\nosupersub{}","plainCitation":"15","noteIndex":0},"citationItems":[{"id":109068,"uris":["http://zotero.org/users/5729315/items/A4WZ74IE"],"uri":["http://zotero.org/users/5729315/items/A4WZ74IE"],"itemData":{"id":109068,"type":"article-journal","abstract":"Objective: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Sally"}],"issued":{"date-parts":[["2018"]]}}}],"schema":"https://github.com/citation-style-language/schema/raw/master/csl-citation.json"} </w:instrText>
      </w:r>
      <w:r w:rsidR="00E97EA6" w:rsidRPr="00584BCB">
        <w:rPr>
          <w:rFonts w:ascii="Rubik" w:hAnsi="Rubik"/>
          <w:color w:val="000000" w:themeColor="text1"/>
          <w:sz w:val="22"/>
          <w:vertAlign w:val="superscript"/>
        </w:rPr>
        <w:fldChar w:fldCharType="separate"/>
      </w:r>
      <w:r w:rsidR="00E97EA6" w:rsidRPr="00584BCB">
        <w:rPr>
          <w:rFonts w:ascii="Rubik" w:hAnsi="Rubik"/>
          <w:color w:val="000000" w:themeColor="text1"/>
          <w:sz w:val="22"/>
          <w:vertAlign w:val="superscript"/>
        </w:rPr>
        <w:t>15</w:t>
      </w:r>
      <w:r w:rsidR="00E97EA6"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measured empowerment using The Empowerment Scale</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{"citationID":"uyXOa2ni","properties":{"formattedCitation":"\\super 46\\nosupersub{}","plainCitation":"46","noteIndex":0},"citationItems":[{"id":110107,"uris":["http://zotero.org/users/5729315/items/LVLCJZF4"],"uri":["http://zotero.org/users/5729315/items/LVLCJZF4"],"itemData":{"id":110107,"type":"article-journal","abstract":"A scale to measure the personal construct of empowerment as defined by consumers of mental health services was developed and field tested. After extensive development, pilot testing, and analyses, a 28-item scale to measure empowerment was tested on","container-title":"Psychiatric Services","DOI":"10.1176/ps.48.8.1042","ISSN":"1075-2730","issue":"8","language":"en","page":"1042-1047","source":"www.academia.edu","title":"A consumer-constructed scale to measure empowerment among users of mental health services","volume":"48","author":[{"family":"Rogers","given":"E. Sally"},{"family":"Chamberlin","given":"J."},{"family":"Ellison","given":"M. L."},{"family":"Crean","given":"T."}],"issued":{"date-parts":[["1997"]]}}}],"schema":"https://github.com/citation-style-language/schema/raw/master/csl-citation.json"}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46</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which has been validated for people with mental health disorders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{"citationID":"9IDIxz1f","properties":{"formattedCitation":"\\super 47\\nosupersub{}","plainCitation":"47","noteIndex":0},"citationItems":[{"id":110104,"uris":["http://zotero.org/users/5729315/items/3IN9TJ6V"],"uri":["http://zotero.org/users/5729315/items/3IN9TJ6V"],"itemData":{"id":110104,"type":"article-journal","abstract":"Objective: Empowerment is a key aspect of recovery and a common term in the mental health field, but there are few consistent definitions or validated measures of the construct. This study conducted psychometric testing on the Empowerment Scale, a widely used measure in the field. Methods: As part of the Consumer-Operated Multi-Site study funded by the Substance Abuse and Mental Health Services Administration, consumers with a psychiatric disability were administered the Empowerment Scale along with several other scales to measure clinical status and psychosocial factors. Results: Analyses produced five factors with acceptable fit statistics. The total scale demonstrated excellent reliability and validity. Conclusions: Analyses provide additional evidence that the total Empowerment Scale score is a reliable, valid measure; subscales of the scale appear less robust. Empowerment is considered an essential factor in recovery-oriented programs and systems, and the use of psychometrically sound measures such as the Empowerment Scale therefore may be useful to evaluators.","archive":"Scopus","container-title":"Psychiatric Services","DOI":"10.1176/ps.2010.61.9.933","issue":"9","page":"933-936","source":"Scopus","title":"Validating the empowerment scale with a multisite sample of consumers of mental health services","volume":"61","author":[{"family":"Rogers","given":"E.S."},{"family":"Ralph","given":"R.O."},{"family":"Salzer","given":"M.S."}],"issued":{"date-parts":[["2010"]]}}}],"schema":"https://github.com/citation-style-language/schema/raw/master/csl-citation.json"}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The scale has domains of self-efficacy, perceived power, optimism about and control over the future, and community activism. Participants in the Vocational Empowerment Photovoice condition had a significantly greater increase in overall empowerment compared to controls, including self-efficacy</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{"citationID":"i1Ebqx8T","properties":{"formattedCitation":"\\super 15\\nosupersub{}","plainCitation":"15","noteIndex":0},"citationItems":[{"id":109068,"uris":["http://zotero.org/users/5729315/items/A4WZ74IE"],"uri":["http://zotero.org/users/5729315/items/A4WZ74IE"],"itemData":{"id":109068,"type":"article-journal","abstract":"Objective: Supported employment has experienced immense growth as an evidence-based intervention targeting the disproportionately high rates of unemployment among individuals with psychiatric disabilities who actively want to work. However, employment services are often not available to individuals who are ambivalent about work or lack work self-efficacy. The purpose of this study was to pilot-test the efficacy of a new peer-run photography-based group intervention (Vocational Empowerment Photovoice [VEP]) designed to empower individuals with psychiatric disabilities to consider employment services and pursue work. Method: A total of 51 individuals with serious mental illnesses enrolled at a university-based recovery center, who were not employed or enrolled in any vocational services, were randomly assigned to the VEP program or to a wait-list control group. Mixed-effects regression models were used to examine the impact of the VEP program on both extrinsic (enrollment in employment services and employment rates) and intrinsic (work hope, motivation and self-efficacy, vocational identity, overall empowerment and internalized stigma) work-related outcomes. Results: Participation in the VEP program was associated with a significantly higher rate of engagement in employment services over the course of the intervention and with significantly higher overall empowerment and decrease of internalized stigma sustained through the 3-month follow-up assessment. Stronger engagement in the VEP program was associated with increased work hope, self-efficacy and sense of vocational identity. Conclusions and Implications for Practice: The study highlights the malleable nature of defeatist beliefs which prevent many individuals with mental illnesses from pursuing employment services despite their inherent interest in working. (PsycINFO Database Record (c) 2020 APA, all rights reserved)","container-title":"Psychiatric Rehabilitation Journal","DOI":"10.1037/prj0000303","issue":"3","journalAbbreviation":"Psychiatric Rehabilitation Journal","language":"en","note":"DOI: 10.1037/prj0000303","page":"196–207","title":"Empowering individuals with psychiatric disabilities to work: Results of a randomized trial.","title-short":"Empowering individuals with psychiatric disabilities to work","volume":"41","author":[{"family":"Russinova","given":"Zlatka"},{"family":"Gidugu","given":"Vasudha"},{"family":"Bloch","given":"Philippe"},{"family":"Restrepo-Toro","given":"Maria"},{"family":"Rogers","given":"E. Sally"}],"issued":{"date-parts":[["2018"]]}}}],"schema":"https://github.com/citation-style-language/schema/raw/master/csl-citation.json"}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15</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(Table 5).</w:t>
      </w:r>
    </w:p>
    <w:p w14:paraId="7B9C588A" w14:textId="0C53F37A" w:rsidR="002E7B4E" w:rsidRPr="00584BCB" w:rsidRDefault="002E7B4E" w:rsidP="00BD1825">
      <w:pPr>
        <w:rPr>
          <w:rFonts w:ascii="Rubik" w:hAnsi="Rubik"/>
          <w:color w:val="000000" w:themeColor="text1"/>
          <w:sz w:val="22"/>
        </w:rPr>
      </w:pPr>
      <w:r w:rsidRPr="00584BCB">
        <w:rPr>
          <w:rFonts w:ascii="Rubik Medium" w:hAnsi="Rubik Medium" w:cs="Rubik Medium"/>
          <w:color w:val="000000" w:themeColor="text1"/>
          <w:sz w:val="28"/>
          <w:szCs w:val="28"/>
        </w:rPr>
        <w:t>Barriers and facilitators for successful implementation</w:t>
      </w:r>
      <w:r w:rsidRPr="00584BCB">
        <w:rPr>
          <w:rFonts w:ascii="Rubik" w:hAnsi="Rubik"/>
          <w:color w:val="000000" w:themeColor="text1"/>
          <w:sz w:val="22"/>
        </w:rPr>
        <w:t xml:space="preserve"> </w:t>
      </w:r>
    </w:p>
    <w:p w14:paraId="3AE3FD04" w14:textId="4FAFFB47" w:rsidR="002E7B4E"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None of the studies formally assessed barriers or facilitators for implementation of the interventions. </w:t>
      </w:r>
    </w:p>
    <w:p w14:paraId="587582D9" w14:textId="45D721B5" w:rsidR="002E7B4E" w:rsidRPr="00584BCB" w:rsidRDefault="002E7B4E" w:rsidP="002E7B4E">
      <w:pPr>
        <w:rPr>
          <w:rFonts w:ascii="Rubik Medium" w:hAnsi="Rubik Medium" w:cs="Rubik Medium"/>
          <w:color w:val="000000" w:themeColor="text1"/>
          <w:sz w:val="28"/>
          <w:szCs w:val="28"/>
        </w:rPr>
      </w:pPr>
      <w:r w:rsidRPr="00584BCB">
        <w:rPr>
          <w:rFonts w:ascii="Rubik" w:hAnsi="Rubik"/>
          <w:color w:val="000000" w:themeColor="text1"/>
          <w:sz w:val="22"/>
        </w:rPr>
        <w:br w:type="column"/>
      </w:r>
      <w:r w:rsidRPr="00584BCB">
        <w:rPr>
          <w:rFonts w:ascii="Rubik Medium" w:hAnsi="Rubik Medium" w:cs="Rubik Medium"/>
          <w:color w:val="000000" w:themeColor="text1"/>
          <w:sz w:val="28"/>
          <w:szCs w:val="28"/>
        </w:rPr>
        <w:t>Cost-effectiveness of interventions</w:t>
      </w:r>
    </w:p>
    <w:p w14:paraId="40DD0F26" w14:textId="3625853F" w:rsidR="00BD1825" w:rsidRPr="00584BCB" w:rsidRDefault="00BD1825" w:rsidP="002E7B4E">
      <w:pPr>
        <w:rPr>
          <w:rFonts w:ascii="Rubik" w:hAnsi="Rubik"/>
          <w:color w:val="000000" w:themeColor="text1"/>
          <w:sz w:val="22"/>
        </w:rPr>
      </w:pPr>
      <w:r w:rsidRPr="00584BCB">
        <w:rPr>
          <w:rFonts w:ascii="Rubik" w:hAnsi="Rubik"/>
          <w:color w:val="000000" w:themeColor="text1"/>
          <w:sz w:val="22"/>
        </w:rPr>
        <w:t>Four studies assessed cost-effectiveness. Heslin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{"citationID":"brwVbCYO","properties":{"formattedCitation":"\\super 28\\nosupersub{}","plainCitation":"28","noteIndex":0},"citationItems":[{"id":109076,"uris":["http://zotero.org/users/5729315/items/EQ2U669A"],"uri":["http://zotero.org/users/5729315/items/EQ2U669A"],"itemData":{"id":109076,"type":"article-journal","abstract":"Studies from North America have concluded that supported employment using the Individual Placement and Support (IPS) model is effective in helping individuals with severe and persistent mental illness gain competitive employment. The aim of this study was to investigate the effectiveness and cost-effectiveness of IPS in England in patients followed up for 2 years. Patients with severe mental illness were randomised to IPS or local vocational services (treatment as usual). Service use and costs were measured. Two hundred-nineteen participants were randomised, and 86% re-assessed 2 years later. In the multivariate analysis, relatively low rates of competitive employment were found in both the intervention group and the treatment as usual group, although significantly more patients obtained competitive employment in the treatment arm (22% vs. 11%, p=0.041). There were no significant differences in costs. The employment rate among participants receiving IPS was lower than in previously published reports, and the number needed to treat to obtain the benefit of IPS was relatively high. This may reflect difficulties in the implementation of IPS where it is not structurally integrated within mental health teams, as well as economic disincentives which lead to lower levels of motivation for patients and mental health professionals.","container-title":"World psychiatry: official journal of the World Psychiatric Association (WPA)","DOI":"10.1002/j.2051-5545.2011.tb00035.x","ISSN":"2051-5545","issue":"2","journalAbbreviation":"World Psychiatry","language":"eng","note":"PMID: 21633690\nPMCID: PMC3105475","page":"132-137","source":"PubMed","title":"Randomized controlled trial of supported employment in England: 2 year follow-up of the Supported Work and Needs (SWAN) study","title-short":"Randomized controlled trial of supported employment in England","volume":"10","author":[{"family":"Heslin","given":"Margaret"},{"family":"Howard","given":"Louise"},{"family":"Leese","given":"Morven"},{"family":"McCrone","given":"Paul"},{"family":"Rice","given":"Christopher"},{"family":"Jarrett","given":"Manuela"},{"family":"Spokes","given":"Terry"},{"family":"Huxley","given":"Peter"},{"family":"Thornicroft","given":"Graham"}],"issued":{"date-parts":[["2011",6]]}}}],"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28</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Hoffman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{"citationID":"fj4hi2Ei","properties":{"formattedCitation":"\\super 35\\nosupersub{}","plainCitation":"35","noteIndex":0},"citationItems":[{"id":109104,"uris":["http://zotero.org/users/5729315/items/M3RIRUR8"],"uri":["http://zotero.org/users/5729315/items/M3RIRUR8"],"itemData":{"id":109104,"type":"article-journal","abstract":"OBJECTIVE: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Schneider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{"citationID":"8oFDbs85","properties":{"formattedCitation":"\\super 37\\nosupersub{}","plainCitation":"37","noteIndex":0},"citationItems":[{"id":109081,"uris":["http://zotero.org/users/5729315/items/SPMWPSM5"],"uri":["http://zotero.org/users/5729315/items/SPMWPSM5"],"itemData":{"id":109081,"type":"article-journal","abstract":"IntroductionEmployment is a key goal for many people with long-term mental health issues. Evidence-based individual placement and support is a widely advocated approach. This study explored whether individual placement and support outcomes could be enhanced with work-focused counselling.MethodThe study was designed as a pragmatic randomised controlled trial comparing the cost-effectiveness, in severe mental illness, of work-focused intervention (intervention) as an adjunct to individual placement and support compared to individual placement and support alone (control).ResultsThe original sample (330) proved impossible to attain so the design was revised to a pilot study from which information on feasibility of a full trial could be drawn. Twenty-five individuals out of 74 found paid work but no difference was found in the mean number of hours in paid employment between the intervention and control groups.ConclusionResults demonstrate that delivering work-focused counselling in tandem with individual placement and support is feasible and acceptable to service users. The study observed that, even during a period of recession (2010?13), individuals with mental health problems succeeded in obtaining paid employment. Any additional benefit of counselling over individual placement and support alone could not be ascertained, due mainly to the high drop-out rate from this study.","container-title":"British Journal of Occupational Therapy","DOI":"10.1177/0308022615619184","ISSN":"0308-0226","issue":"5","journalAbbreviation":"British Journal of Occupational Therapy","language":"en","note":"publisher: SAGE Publications Ltd STM","page":"257-269","source":"SAGE Journals","title":"Individual placement and support versus individual placement and support enhanced with work-focused cognitive behaviour therapy: Feasibility study for a randomised controlled trial","title-short":"Individual placement and support versus individual placement and support enhanced with work-focused cognitive behaviour therapy","volume":"79","author":[{"family":"Schneider","given":"Justine"},{"family":"Akhtar","given":"Athfah"},{"family":"Boycott","given":"Naomi"},{"family":"Guo","given":"Boliang"},{"family":"Latimer","given":"Eric"},{"family":"Cao","given":"Zhirong"},{"family":"McMurran","given":"Mary"}],"issued":{"date-parts":[["2016",5,1]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37</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and Yamaguchi et al.</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{"citationID":"pLvpMo3J","properties":{"formattedCitation":"\\super 42\\nosupersub{}","plainCitation":"42","noteIndex":0},"citationItems":[{"id":109092,"uris":["http://zotero.org/users/5729315/items/QPIAX8BY"],"uri":["http://zotero.org/users/5729315/items/QPIAX8BY"],"itemData":{"id":109092,"type":"article-journal","abstract":"Background\n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sz w:val="22"/>
          <w:vertAlign w:val="superscript"/>
        </w:rPr>
        <w:instrText>Β</w:instrText>
      </w:r>
      <w:r w:rsidRPr="00584BCB">
        <w:rPr>
          <w:rFonts w:ascii="Rubik" w:hAnsi="Rubik"/>
          <w:color w:val="000000" w:themeColor="text1"/>
          <w:sz w:val="22"/>
          <w:vertAlign w:val="superscript"/>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42</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 xml:space="preserve">found no significant differences in groups. </w:t>
      </w:r>
    </w:p>
    <w:p w14:paraId="7B9B06CF" w14:textId="3BA0D090" w:rsidR="00BD1825" w:rsidRPr="00584BCB" w:rsidRDefault="00BD1825" w:rsidP="00BD1825">
      <w:pPr>
        <w:rPr>
          <w:rFonts w:ascii="Rubik" w:hAnsi="Rubik"/>
          <w:color w:val="000000" w:themeColor="text1"/>
          <w:sz w:val="22"/>
        </w:rPr>
      </w:pPr>
      <w:r w:rsidRPr="00584BCB">
        <w:rPr>
          <w:rFonts w:ascii="Rubik" w:hAnsi="Rubik"/>
          <w:color w:val="000000" w:themeColor="text1"/>
          <w:sz w:val="22"/>
        </w:rPr>
        <w:t>However, participants in the Job Coach condition had significantly higher income than those in traditional vocational rehabilitation</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{"citationID":"uSTld5fG","properties":{"formattedCitation":"\\super 35\\nosupersub{}","plainCitation":"35","noteIndex":0},"citationItems":[{"id":109104,"uris":["http://zotero.org/users/5729315/items/M3RIRUR8"],"uri":["http://zotero.org/users/5729315/items/M3RIRUR8"],"itemData":{"id":109104,"type":"article-journal","abstract":"OBJECTIVE: The individual placement and support model of supported employment has been shown to be more effective than other vocational approaches in improving competitive work over 1-2 years in persons with severe mental illness. The authors evaluated the longer-term effects of the model compared with traditional vocational rehabilitation over 5 years.\nMETHOD: A randomized controlled trial compared supported employment to traditional vocational rehabilitation in 100 unemployed persons with severe mental illness. Competitive work and hospital admissions were tracked for 5 years, and interviews were conducted at 2 and 5 years to assess recovery attitudes and quality of life. A cost-benefit analysis compared program and total treatment costs to earnings from competitive employment.\nRESULTS: The beneficial effects of supported employment on work at 2 years were sustained over the 5-year follow-up period. Participants in supported employment were more likely to obtain competitive work than those in traditional vocational rehabilitation (65% compared with 33%), worked more hours and weeks, earned more wages, and had longer job tenures. Reliance on supported employment services for retaining competitive work decreased from 2 years to 5 years for participants in supported employment. Participants were also significantly less likely to be hospitalized, had fewer psychiatric hospital admissions, and spent fewer days in the hospital. The social return on investment was higher for supported employment participants, whether calculated as the ratio of work earnings to vocational program costs or of work earnings to total vocational program and mental health treatment costs.\nCONCLUSIONS: The results demonstrate that the greater effectiveness of supported employment in improving competitive work outcomes is sustained beyond 2 years and suggest that supported employment programs contribute to reduced hospitalizations and produce a higher social return on investment.","container-title":"The American Journal of Psychiatry","DOI":"10.1176/appi.ajp.2014.13070857","ISSN":"1535-7228","issue":"11","journalAbbreviation":"Am J Psychiatry","language":"eng","note":"PMID: 25124692","page":"1183-1190","source":"PubMed","title":"Long-term effectiveness of supported employment: 5-year follow-up of a randomized controlled trial","title-short":"Long-term effectiveness of supported employment","volume":"171","author":[{"family":"Hoffmann","given":"Holger"},{"family":"Jäckel","given":"Dorothea"},{"family":"Glauser","given":"Sybille"},{"family":"Mueser","given":"Kim T."},{"family":"Kupper","given":"Zeno"}],"issued":{"date-parts":[["2014",11,1]]}}}],"schema":"https://github.com/citation-style-language/schema/raw/master/csl-citation.json"}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35</w:t>
      </w:r>
      <w:r w:rsidRPr="00584BCB">
        <w:rPr>
          <w:rFonts w:ascii="Rubik" w:hAnsi="Rubik"/>
          <w:color w:val="000000" w:themeColor="text1"/>
          <w:sz w:val="22"/>
          <w:vertAlign w:val="superscript"/>
        </w:rPr>
        <w:fldChar w:fldCharType="end"/>
      </w:r>
      <w:r w:rsidRPr="00584BCB">
        <w:rPr>
          <w:rFonts w:ascii="Rubik" w:hAnsi="Rubik"/>
          <w:color w:val="000000" w:themeColor="text1"/>
          <w:sz w:val="22"/>
        </w:rPr>
        <w:t xml:space="preserve">, and the mean cost for medical services in the cognitive remediation and </w:t>
      </w:r>
      <w:r w:rsidR="008A4556" w:rsidRPr="00584BCB">
        <w:rPr>
          <w:rFonts w:ascii="Rubik" w:hAnsi="Rubik"/>
          <w:color w:val="000000" w:themeColor="text1"/>
          <w:sz w:val="22"/>
        </w:rPr>
        <w:t>vocational program</w:t>
      </w:r>
      <w:r w:rsidRPr="00584BCB">
        <w:rPr>
          <w:rFonts w:ascii="Rubik" w:hAnsi="Rubik"/>
          <w:color w:val="000000" w:themeColor="text1"/>
          <w:sz w:val="22"/>
        </w:rPr>
        <w:t xml:space="preserve"> intervention group was lower, and the intervention showed high probability for cost-effectiveness in terms of vocational outcomes</w:t>
      </w:r>
      <w:r w:rsidRPr="00584BCB">
        <w:rPr>
          <w:rFonts w:ascii="Rubik" w:hAnsi="Rubik"/>
          <w:color w:val="000000" w:themeColor="text1"/>
          <w:sz w:val="22"/>
          <w:vertAlign w:val="superscript"/>
        </w:rPr>
        <w:fldChar w:fldCharType="begin"/>
      </w:r>
      <w:r w:rsidRPr="00584BCB">
        <w:rPr>
          <w:rFonts w:ascii="Rubik" w:hAnsi="Rubik"/>
          <w:color w:val="000000" w:themeColor="text1"/>
          <w:sz w:val="22"/>
          <w:vertAlign w:val="superscript"/>
        </w:rPr>
        <w:instrText xml:space="preserve"> ADDIN ZOTERO_ITEM CSL_CITATION {"citationID":"QOgxS3ZL","properties":{"formattedCitation":"\\super 42\\nosupersub{}","plainCitation":"42","noteIndex":0},"citationItems":[{"id":109092,"uris":["http://zotero.org/users/5729315/items/QPIAX8BY"],"uri":["http://zotero.org/users/5729315/items/QPIAX8BY"],"itemData":{"id":109092,"type":"article-journal","abstract":"Background\n               Little is known about the economic benefits of cognitive remediation and supported employment (CR + SE). The present study aimed to investigate the cost-effectiveness of CR + SE compared with traditional vocational services (TVS).\n            \n            \n               Method\n               Individuals with mental illness and low cognitive function were recruited at six sites in Japan. A total of 111 participants were randomly allocated to the CR + SE group or the TVS group. Clinical and vocational outcomes were assessed at baseline and 12-month follow-up. Service utilization data were collected monthly. The data on outcomes and costs were combined to examine cost-effectiveness.\n            \n            \n               Results\n               The data were obtained from a total of 92 participants. The CR + SE group resulted in better vocational and clinical outcomes (employment rate, 62.2%; work tenures, 78.6 days; cognitive improvement, 0.5) than the TVS group (19.1%, 24.9 days and 0.2). There was no significant difference in mean total costs between the groups (CR + SE group: $9823, s.d. = $6372, TVS group: $11 063, s.d. = $11 263) with and without adjustment for covariates. However, mean cost for medical services in the CR + SE group was significantly lower than that in the TVS group after adjusting covariates (</w:instrText>
      </w:r>
      <w:r w:rsidRPr="00584BCB">
        <w:rPr>
          <w:rFonts w:ascii="Cambria" w:hAnsi="Cambria" w:cs="Cambria"/>
          <w:color w:val="000000" w:themeColor="text1"/>
          <w:sz w:val="22"/>
          <w:vertAlign w:val="superscript"/>
        </w:rPr>
        <w:instrText>Β</w:instrText>
      </w:r>
      <w:r w:rsidRPr="00584BCB">
        <w:rPr>
          <w:rFonts w:ascii="Rubik" w:hAnsi="Rubik"/>
          <w:color w:val="000000" w:themeColor="text1"/>
          <w:sz w:val="22"/>
          <w:vertAlign w:val="superscript"/>
        </w:rPr>
        <w:instrText xml:space="preserve"> = −$3979, 95% confidence interval −$7816 to −$143, p = 0.042). Cost-effectiveness acceptability curves for vocational outcomes illustrated the high probabilities (approximately 70%) of the CR + SE group being more cost-effective than TVS when society is not willing to pay additional costs.\n            \n            \n               Conclusions\n               CR + SE appears to be a cost-effective option for people with mental illness who have low cognitive functioning when compared with TVS.","container-title":"Psychological Medicine","DOI":"10.1017/S0033291716002063","ISSN":"0033-2917, 1469-8978","issue":"1","language":"en","note":"publisher: Cambridge University Press","page":"53-65","source":"Cambridge University Press","title":"Cost-effectiveness of cognitive remediation and supported employment for people with mental illness: a randomized controlled trial","title-short":"Cost-effectiveness of cognitive remediation and supported employment for people with mental illness","volume":"47","author":[{"family":"Yamaguchi","given":"S."},{"family":"Sato","given":"S."},{"family":"Horio","given":"N."},{"family":"Yoshida","given":"K."},{"family":"Shimodaira","given":"M."},{"family":"Taneda","given":"A."},{"family":"Ikebuchi","given":"E."},{"family":"Nishio","given":"M."},{"family":"Ito","given":"J."}],"issued":{"date-parts":[["2017",1]]}}}],"schema":"https://github.com/citation-style-language/schema/raw/master/csl-citation.json"} </w:instrText>
      </w:r>
      <w:r w:rsidRPr="00584BCB">
        <w:rPr>
          <w:rFonts w:ascii="Rubik" w:hAnsi="Rubik"/>
          <w:color w:val="000000" w:themeColor="text1"/>
          <w:sz w:val="22"/>
          <w:vertAlign w:val="superscript"/>
        </w:rPr>
        <w:fldChar w:fldCharType="separate"/>
      </w:r>
      <w:r w:rsidRPr="00584BCB">
        <w:rPr>
          <w:rFonts w:ascii="Rubik" w:hAnsi="Rubik"/>
          <w:color w:val="000000" w:themeColor="text1"/>
          <w:sz w:val="22"/>
          <w:vertAlign w:val="superscript"/>
        </w:rPr>
        <w:t>42</w:t>
      </w:r>
      <w:r w:rsidRPr="00584BCB">
        <w:rPr>
          <w:rFonts w:ascii="Rubik" w:hAnsi="Rubik"/>
          <w:color w:val="000000" w:themeColor="text1"/>
          <w:sz w:val="22"/>
          <w:vertAlign w:val="superscript"/>
        </w:rPr>
        <w:fldChar w:fldCharType="end"/>
      </w:r>
      <w:r w:rsidRPr="00584BCB">
        <w:rPr>
          <w:rFonts w:ascii="Rubik" w:hAnsi="Rubik"/>
          <w:color w:val="000000" w:themeColor="text1"/>
          <w:sz w:val="22"/>
          <w:vertAlign w:val="superscript"/>
        </w:rPr>
        <w:t xml:space="preserve"> </w:t>
      </w:r>
      <w:r w:rsidRPr="00584BCB">
        <w:rPr>
          <w:rFonts w:ascii="Rubik" w:hAnsi="Rubik"/>
          <w:color w:val="000000" w:themeColor="text1"/>
          <w:sz w:val="22"/>
        </w:rPr>
        <w:t>(Table 5).</w:t>
      </w:r>
    </w:p>
    <w:p w14:paraId="322F16C1" w14:textId="10E489D3" w:rsidR="002E7B4E" w:rsidRPr="00584BCB" w:rsidRDefault="002E7B4E" w:rsidP="002E7B4E">
      <w:pPr>
        <w:pStyle w:val="Heading1"/>
        <w:rPr>
          <w:rFonts w:ascii="Rubik" w:hAnsi="Rubik"/>
          <w:bCs/>
          <w:color w:val="000000" w:themeColor="text1"/>
          <w:sz w:val="22"/>
          <w:szCs w:val="22"/>
        </w:rPr>
      </w:pPr>
      <w:bookmarkStart w:id="34" w:name="_Toc66716612"/>
      <w:r w:rsidRPr="00584BCB">
        <w:rPr>
          <w:color w:val="000000" w:themeColor="text1"/>
        </w:rPr>
        <w:t>Risk of bias</w:t>
      </w:r>
      <w:bookmarkEnd w:id="34"/>
    </w:p>
    <w:p w14:paraId="7A9C6394" w14:textId="0A254F1E"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The risk of bias assessments for individual studies are presented in Figures 3 and 4. Overall, 15 studies with people with psychosocial </w:t>
      </w:r>
      <w:r w:rsidR="000823D5" w:rsidRPr="00584BCB">
        <w:rPr>
          <w:rFonts w:ascii="Rubik" w:hAnsi="Rubik"/>
          <w:color w:val="000000" w:themeColor="text1"/>
          <w:sz w:val="22"/>
        </w:rPr>
        <w:t>disability</w:t>
      </w:r>
      <w:r w:rsidRPr="00584BCB">
        <w:rPr>
          <w:rFonts w:ascii="Rubik" w:hAnsi="Rubik"/>
          <w:color w:val="000000" w:themeColor="text1"/>
          <w:sz w:val="22"/>
        </w:rPr>
        <w:t xml:space="preserve">, and all three studies with people with autism were assessed to have ‘some concern’ because of the lack of published study protocols and/or statistical analysis plans. Eight studies with people with psychosocial </w:t>
      </w:r>
      <w:r w:rsidR="000823D5" w:rsidRPr="00584BCB">
        <w:rPr>
          <w:rFonts w:ascii="Rubik" w:hAnsi="Rubik"/>
          <w:color w:val="000000" w:themeColor="text1"/>
          <w:sz w:val="22"/>
        </w:rPr>
        <w:t>disability</w:t>
      </w:r>
      <w:r w:rsidRPr="00584BCB">
        <w:rPr>
          <w:rFonts w:ascii="Rubik" w:hAnsi="Rubik"/>
          <w:color w:val="000000" w:themeColor="text1"/>
          <w:sz w:val="22"/>
        </w:rPr>
        <w:t xml:space="preserve"> were classified as high risk of bias, commonly due to missing outcome data and potential selection of reported results. None of the studies had low risk of bias.</w:t>
      </w:r>
    </w:p>
    <w:p w14:paraId="75B8DD43" w14:textId="77777777" w:rsidR="00B241F2" w:rsidRPr="00584BCB" w:rsidRDefault="00B241F2" w:rsidP="00BD1825">
      <w:pPr>
        <w:rPr>
          <w:rFonts w:ascii="Rubik" w:hAnsi="Rubik"/>
          <w:color w:val="000000" w:themeColor="text1"/>
          <w:sz w:val="22"/>
        </w:rPr>
        <w:sectPr w:rsidR="00B241F2" w:rsidRPr="00584BCB" w:rsidSect="00237202">
          <w:pgSz w:w="12240" w:h="15840"/>
          <w:pgMar w:top="1440" w:right="1440" w:bottom="1440" w:left="1440" w:header="720" w:footer="720" w:gutter="0"/>
          <w:cols w:num="2" w:space="709"/>
        </w:sectPr>
      </w:pPr>
    </w:p>
    <w:p w14:paraId="69730A77" w14:textId="126A194D" w:rsidR="00B241F2" w:rsidRPr="00584BCB" w:rsidRDefault="00B241F2" w:rsidP="00BD1825">
      <w:pPr>
        <w:rPr>
          <w:rFonts w:ascii="Rubik" w:hAnsi="Rubik"/>
          <w:color w:val="000000" w:themeColor="text1"/>
          <w:sz w:val="22"/>
        </w:rPr>
      </w:pPr>
    </w:p>
    <w:p w14:paraId="09D87C4C" w14:textId="512523FC" w:rsidR="00810406" w:rsidRPr="00584BCB" w:rsidRDefault="00810406" w:rsidP="00BD1825">
      <w:pPr>
        <w:rPr>
          <w:rFonts w:ascii="Rubik" w:hAnsi="Rubik"/>
          <w:color w:val="000000" w:themeColor="text1"/>
          <w:sz w:val="22"/>
        </w:rPr>
      </w:pPr>
    </w:p>
    <w:p w14:paraId="4BDB908A" w14:textId="55E20380" w:rsidR="008C503C" w:rsidRPr="00584BCB" w:rsidRDefault="008D7089" w:rsidP="00696736">
      <w:pPr>
        <w:spacing w:after="160" w:line="259" w:lineRule="auto"/>
        <w:rPr>
          <w:rFonts w:ascii="Rubik" w:hAnsi="Rubik" w:cs="Rubik"/>
          <w:b/>
          <w:iCs/>
          <w:color w:val="000000" w:themeColor="text1"/>
          <w:szCs w:val="20"/>
        </w:rPr>
      </w:pPr>
      <w:r w:rsidRPr="00584BCB">
        <w:rPr>
          <w:rFonts w:ascii="Rubik" w:hAnsi="Rubik" w:cs="Rubik"/>
          <w:bCs/>
          <w:iCs/>
          <w:color w:val="000000" w:themeColor="text1"/>
          <w:szCs w:val="20"/>
        </w:rPr>
        <w:br w:type="page"/>
      </w:r>
      <w:r w:rsidR="008C503C" w:rsidRPr="00584BCB">
        <w:rPr>
          <w:rFonts w:ascii="Rubik" w:hAnsi="Rubik" w:cs="Rubik" w:hint="cs"/>
          <w:b/>
          <w:color w:val="000000" w:themeColor="text1"/>
          <w:szCs w:val="20"/>
        </w:rPr>
        <w:lastRenderedPageBreak/>
        <w:t xml:space="preserve">Figure </w:t>
      </w:r>
      <w:r w:rsidR="008C503C" w:rsidRPr="00584BCB">
        <w:rPr>
          <w:rFonts w:ascii="Rubik" w:hAnsi="Rubik" w:cs="Rubik" w:hint="cs"/>
          <w:b/>
          <w:iCs/>
          <w:color w:val="000000" w:themeColor="text1"/>
          <w:szCs w:val="20"/>
        </w:rPr>
        <w:fldChar w:fldCharType="begin"/>
      </w:r>
      <w:r w:rsidR="008C503C" w:rsidRPr="00584BCB">
        <w:rPr>
          <w:rFonts w:ascii="Rubik" w:hAnsi="Rubik" w:cs="Rubik" w:hint="cs"/>
          <w:b/>
          <w:color w:val="000000" w:themeColor="text1"/>
          <w:szCs w:val="20"/>
        </w:rPr>
        <w:instrText xml:space="preserve"> SEQ Figure \* ARABIC </w:instrText>
      </w:r>
      <w:r w:rsidR="008C503C" w:rsidRPr="00584BCB">
        <w:rPr>
          <w:rFonts w:ascii="Rubik" w:hAnsi="Rubik" w:cs="Rubik" w:hint="cs"/>
          <w:b/>
          <w:iCs/>
          <w:color w:val="000000" w:themeColor="text1"/>
          <w:szCs w:val="20"/>
        </w:rPr>
        <w:fldChar w:fldCharType="separate"/>
      </w:r>
      <w:r w:rsidRPr="00584BCB">
        <w:rPr>
          <w:rFonts w:ascii="Rubik" w:hAnsi="Rubik" w:cs="Rubik"/>
          <w:b/>
          <w:noProof/>
          <w:color w:val="000000" w:themeColor="text1"/>
          <w:szCs w:val="20"/>
        </w:rPr>
        <w:t>3</w:t>
      </w:r>
      <w:r w:rsidR="008C503C" w:rsidRPr="00584BCB">
        <w:rPr>
          <w:rFonts w:ascii="Rubik" w:hAnsi="Rubik" w:cs="Rubik" w:hint="cs"/>
          <w:b/>
          <w:iCs/>
          <w:color w:val="000000" w:themeColor="text1"/>
          <w:szCs w:val="20"/>
        </w:rPr>
        <w:fldChar w:fldCharType="end"/>
      </w:r>
      <w:r w:rsidR="008C503C" w:rsidRPr="00584BCB">
        <w:rPr>
          <w:rFonts w:ascii="Rubik" w:hAnsi="Rubik" w:cs="Rubik"/>
          <w:b/>
          <w:color w:val="000000" w:themeColor="text1"/>
          <w:szCs w:val="20"/>
        </w:rPr>
        <w:t>.</w:t>
      </w:r>
      <w:r w:rsidR="008C503C" w:rsidRPr="00584BCB">
        <w:rPr>
          <w:rFonts w:ascii="Rubik" w:hAnsi="Rubik" w:cs="Rubik" w:hint="cs"/>
          <w:b/>
          <w:color w:val="000000" w:themeColor="text1"/>
          <w:szCs w:val="20"/>
        </w:rPr>
        <w:t xml:space="preserve"> Risk of bias of included studies with people with psychosocial disability</w:t>
      </w:r>
    </w:p>
    <w:p w14:paraId="40F284F9" w14:textId="5F11E8BB" w:rsidR="005E1435" w:rsidRPr="00584BCB" w:rsidRDefault="00BD1825" w:rsidP="005E1435">
      <w:pPr>
        <w:keepNext/>
        <w:rPr>
          <w:color w:val="000000" w:themeColor="text1"/>
        </w:rPr>
      </w:pPr>
      <w:r w:rsidRPr="00584BCB">
        <w:rPr>
          <w:noProof/>
          <w:color w:val="000000" w:themeColor="text1"/>
          <w:lang w:eastAsia="en-AU"/>
        </w:rPr>
        <w:drawing>
          <wp:inline distT="0" distB="0" distL="0" distR="0" wp14:anchorId="4A67856E" wp14:editId="54F603EE">
            <wp:extent cx="3935392" cy="5423598"/>
            <wp:effectExtent l="0" t="0" r="1905" b="0"/>
            <wp:docPr id="1" name="Picture 1" descr="A picture containing chart that shows which studies with people with psychoscial disabilities were scored as having low, moderate or high risk of b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hart that shows which studies with people with psychoscial disabilities were scored as having low, moderate or high risk of bias.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66224" cy="5466090"/>
                    </a:xfrm>
                    <a:prstGeom prst="rect">
                      <a:avLst/>
                    </a:prstGeom>
                  </pic:spPr>
                </pic:pic>
              </a:graphicData>
            </a:graphic>
          </wp:inline>
        </w:drawing>
      </w:r>
    </w:p>
    <w:p w14:paraId="4D1A3E7A" w14:textId="77777777" w:rsidR="008C503C" w:rsidRPr="00584BCB" w:rsidRDefault="008C503C" w:rsidP="005E1435">
      <w:pPr>
        <w:keepNext/>
        <w:rPr>
          <w:color w:val="000000" w:themeColor="text1"/>
        </w:rPr>
      </w:pPr>
    </w:p>
    <w:p w14:paraId="4634B3AA" w14:textId="77280288" w:rsidR="00BD1825" w:rsidRPr="00584BCB" w:rsidRDefault="008C503C" w:rsidP="00BD1825">
      <w:pPr>
        <w:rPr>
          <w:rFonts w:ascii="Rubik" w:hAnsi="Rubik"/>
          <w:color w:val="000000" w:themeColor="text1"/>
          <w:sz w:val="22"/>
        </w:rPr>
      </w:pPr>
      <w:r w:rsidRPr="00584BCB">
        <w:rPr>
          <w:noProof/>
          <w:color w:val="000000" w:themeColor="text1"/>
          <w:lang w:eastAsia="en-AU"/>
        </w:rPr>
        <mc:AlternateContent>
          <mc:Choice Requires="wps">
            <w:drawing>
              <wp:anchor distT="0" distB="0" distL="114300" distR="114300" simplePos="0" relativeHeight="251658247" behindDoc="0" locked="0" layoutInCell="1" allowOverlap="1" wp14:anchorId="3182137E" wp14:editId="1095D4D0">
                <wp:simplePos x="0" y="0"/>
                <wp:positionH relativeFrom="column">
                  <wp:posOffset>39370</wp:posOffset>
                </wp:positionH>
                <wp:positionV relativeFrom="paragraph">
                  <wp:posOffset>33638</wp:posOffset>
                </wp:positionV>
                <wp:extent cx="4298950" cy="635"/>
                <wp:effectExtent l="0" t="0" r="6350" b="1905"/>
                <wp:wrapSquare wrapText="bothSides"/>
                <wp:docPr id="60" name="Text Box 60"/>
                <wp:cNvGraphicFramePr/>
                <a:graphic xmlns:a="http://schemas.openxmlformats.org/drawingml/2006/main">
                  <a:graphicData uri="http://schemas.microsoft.com/office/word/2010/wordprocessingShape">
                    <wps:wsp>
                      <wps:cNvSpPr txBox="1"/>
                      <wps:spPr>
                        <a:xfrm>
                          <a:off x="0" y="0"/>
                          <a:ext cx="4298950" cy="635"/>
                        </a:xfrm>
                        <a:prstGeom prst="rect">
                          <a:avLst/>
                        </a:prstGeom>
                        <a:solidFill>
                          <a:prstClr val="white"/>
                        </a:solidFill>
                        <a:ln>
                          <a:noFill/>
                        </a:ln>
                      </wps:spPr>
                      <wps:txbx>
                        <w:txbxContent>
                          <w:p w14:paraId="512BFE48" w14:textId="25D3E427" w:rsidR="008D7089" w:rsidRPr="00367125" w:rsidRDefault="008D7089" w:rsidP="005E1435">
                            <w:pPr>
                              <w:pStyle w:val="Caption"/>
                              <w:rPr>
                                <w:rFonts w:ascii="Rubik" w:hAnsi="Rubik" w:cs="Rubik"/>
                                <w:noProof/>
                                <w:color w:val="000000" w:themeColor="text1"/>
                                <w:sz w:val="20"/>
                                <w:szCs w:val="20"/>
                              </w:rPr>
                            </w:pPr>
                            <w:r w:rsidRPr="00367125">
                              <w:rPr>
                                <w:rFonts w:ascii="Rubik" w:hAnsi="Rubik" w:cs="Rubik" w:hint="cs"/>
                                <w:sz w:val="20"/>
                                <w:szCs w:val="20"/>
                              </w:rPr>
                              <w:t xml:space="preserve">Figure </w:t>
                            </w:r>
                            <w:r w:rsidRPr="00367125">
                              <w:rPr>
                                <w:rFonts w:ascii="Rubik" w:hAnsi="Rubik" w:cs="Rubik" w:hint="cs"/>
                                <w:sz w:val="20"/>
                                <w:szCs w:val="20"/>
                              </w:rPr>
                              <w:fldChar w:fldCharType="begin"/>
                            </w:r>
                            <w:r w:rsidRPr="00367125">
                              <w:rPr>
                                <w:rFonts w:ascii="Rubik" w:hAnsi="Rubik" w:cs="Rubik" w:hint="cs"/>
                                <w:sz w:val="20"/>
                                <w:szCs w:val="20"/>
                              </w:rPr>
                              <w:instrText xml:space="preserve"> SEQ Figure \* ARABIC </w:instrText>
                            </w:r>
                            <w:r w:rsidRPr="00367125">
                              <w:rPr>
                                <w:rFonts w:ascii="Rubik" w:hAnsi="Rubik" w:cs="Rubik" w:hint="cs"/>
                                <w:sz w:val="20"/>
                                <w:szCs w:val="20"/>
                              </w:rPr>
                              <w:fldChar w:fldCharType="separate"/>
                            </w:r>
                            <w:r>
                              <w:rPr>
                                <w:rFonts w:ascii="Rubik" w:hAnsi="Rubik" w:cs="Rubik"/>
                                <w:noProof/>
                                <w:sz w:val="20"/>
                                <w:szCs w:val="20"/>
                              </w:rPr>
                              <w:t>4</w:t>
                            </w:r>
                            <w:r w:rsidRPr="00367125">
                              <w:rPr>
                                <w:rFonts w:ascii="Rubik" w:hAnsi="Rubik" w:cs="Rubik" w:hint="cs"/>
                                <w:sz w:val="20"/>
                                <w:szCs w:val="20"/>
                              </w:rPr>
                              <w:fldChar w:fldCharType="end"/>
                            </w:r>
                            <w:r w:rsidRPr="00367125">
                              <w:rPr>
                                <w:rFonts w:ascii="Rubik" w:hAnsi="Rubik" w:cs="Rubik" w:hint="cs"/>
                                <w:sz w:val="20"/>
                                <w:szCs w:val="20"/>
                              </w:rPr>
                              <w:t>. Risk of bias of included studies with people with autism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182137E" id="Text Box 60" o:spid="_x0000_s1073" type="#_x0000_t202" style="position:absolute;margin-left:3.1pt;margin-top:2.65pt;width:338.5pt;height:.05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" stroked="f">
                <v:textbox style="mso-fit-shape-to-text:t" inset="0,0,0,0">
                  <w:txbxContent>
                    <w:p w14:paraId="512BFE48" w14:textId="25D3E427" w:rsidR="008D7089" w:rsidRPr="00367125" w:rsidRDefault="008D7089" w:rsidP="005E1435">
                      <w:pPr>
                        <w:pStyle w:val="Caption"/>
                        <w:rPr>
                          <w:rFonts w:ascii="Rubik" w:hAnsi="Rubik" w:cs="Rubik"/>
                          <w:noProof/>
                          <w:color w:val="000000" w:themeColor="text1"/>
                          <w:sz w:val="20"/>
                          <w:szCs w:val="20"/>
                        </w:rPr>
                      </w:pPr>
                      <w:r w:rsidRPr="00367125">
                        <w:rPr>
                          <w:rFonts w:ascii="Rubik" w:hAnsi="Rubik" w:cs="Rubik" w:hint="cs"/>
                          <w:sz w:val="20"/>
                          <w:szCs w:val="20"/>
                        </w:rPr>
                        <w:t xml:space="preserve">Figure </w:t>
                      </w:r>
                      <w:r w:rsidRPr="00367125">
                        <w:rPr>
                          <w:rFonts w:ascii="Rubik" w:hAnsi="Rubik" w:cs="Rubik" w:hint="cs"/>
                          <w:sz w:val="20"/>
                          <w:szCs w:val="20"/>
                        </w:rPr>
                        <w:fldChar w:fldCharType="begin"/>
                      </w:r>
                      <w:r w:rsidRPr="00367125">
                        <w:rPr>
                          <w:rFonts w:ascii="Rubik" w:hAnsi="Rubik" w:cs="Rubik" w:hint="cs"/>
                          <w:sz w:val="20"/>
                          <w:szCs w:val="20"/>
                        </w:rPr>
                        <w:instrText xml:space="preserve"> SEQ Figure \* ARABIC </w:instrText>
                      </w:r>
                      <w:r w:rsidRPr="00367125">
                        <w:rPr>
                          <w:rFonts w:ascii="Rubik" w:hAnsi="Rubik" w:cs="Rubik" w:hint="cs"/>
                          <w:sz w:val="20"/>
                          <w:szCs w:val="20"/>
                        </w:rPr>
                        <w:fldChar w:fldCharType="separate"/>
                      </w:r>
                      <w:r>
                        <w:rPr>
                          <w:rFonts w:ascii="Rubik" w:hAnsi="Rubik" w:cs="Rubik"/>
                          <w:noProof/>
                          <w:sz w:val="20"/>
                          <w:szCs w:val="20"/>
                        </w:rPr>
                        <w:t>4</w:t>
                      </w:r>
                      <w:r w:rsidRPr="00367125">
                        <w:rPr>
                          <w:rFonts w:ascii="Rubik" w:hAnsi="Rubik" w:cs="Rubik" w:hint="cs"/>
                          <w:sz w:val="20"/>
                          <w:szCs w:val="20"/>
                        </w:rPr>
                        <w:fldChar w:fldCharType="end"/>
                      </w:r>
                      <w:r w:rsidRPr="00367125">
                        <w:rPr>
                          <w:rFonts w:ascii="Rubik" w:hAnsi="Rubik" w:cs="Rubik" w:hint="cs"/>
                          <w:sz w:val="20"/>
                          <w:szCs w:val="20"/>
                        </w:rPr>
                        <w:t>. Risk of bias of included studies with people with autism</w:t>
                      </w:r>
                    </w:p>
                  </w:txbxContent>
                </v:textbox>
                <w10:wrap type="square"/>
              </v:shape>
            </w:pict>
          </mc:Fallback>
        </mc:AlternateContent>
      </w:r>
      <w:r w:rsidR="00BD1825" w:rsidRPr="00584BCB">
        <w:rPr>
          <w:rFonts w:ascii="Rubik" w:hAnsi="Rubik"/>
          <w:noProof/>
          <w:color w:val="000000" w:themeColor="text1"/>
          <w:sz w:val="22"/>
          <w:lang w:eastAsia="en-AU"/>
        </w:rPr>
        <w:drawing>
          <wp:anchor distT="0" distB="0" distL="114300" distR="114300" simplePos="0" relativeHeight="251658241" behindDoc="0" locked="0" layoutInCell="1" allowOverlap="1" wp14:anchorId="6237A029" wp14:editId="7BF2E258">
            <wp:simplePos x="0" y="0"/>
            <wp:positionH relativeFrom="column">
              <wp:posOffset>163195</wp:posOffset>
            </wp:positionH>
            <wp:positionV relativeFrom="paragraph">
              <wp:posOffset>204470</wp:posOffset>
            </wp:positionV>
            <wp:extent cx="4298950" cy="1734820"/>
            <wp:effectExtent l="0" t="0" r="6350" b="5080"/>
            <wp:wrapSquare wrapText="bothSides"/>
            <wp:docPr id="3" name="Picture 3" descr="A picture containing a chart that shows which studies with people with auttism were scored has having low, moderate or high risk of bi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a chart that shows which studies with people with auttism were scored has having low, moderate or high risk of bias. "/>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98950" cy="1734820"/>
                    </a:xfrm>
                    <a:prstGeom prst="rect">
                      <a:avLst/>
                    </a:prstGeom>
                  </pic:spPr>
                </pic:pic>
              </a:graphicData>
            </a:graphic>
            <wp14:sizeRelH relativeFrom="page">
              <wp14:pctWidth>0</wp14:pctWidth>
            </wp14:sizeRelH>
            <wp14:sizeRelV relativeFrom="page">
              <wp14:pctHeight>0</wp14:pctHeight>
            </wp14:sizeRelV>
          </wp:anchor>
        </w:drawing>
      </w:r>
    </w:p>
    <w:p w14:paraId="6EDD6C81" w14:textId="78EAD6C8" w:rsidR="00BD1825" w:rsidRPr="00584BCB" w:rsidRDefault="00BD1825" w:rsidP="00BD1825">
      <w:pPr>
        <w:rPr>
          <w:rFonts w:ascii="Rubik" w:hAnsi="Rubik"/>
          <w:color w:val="000000" w:themeColor="text1"/>
          <w:sz w:val="22"/>
        </w:rPr>
      </w:pPr>
    </w:p>
    <w:p w14:paraId="3F987258" w14:textId="081CFB0D" w:rsidR="00BD1825" w:rsidRPr="00584BCB" w:rsidRDefault="00BD1825" w:rsidP="00BD1825">
      <w:pPr>
        <w:rPr>
          <w:rFonts w:ascii="Rubik" w:hAnsi="Rubik"/>
          <w:color w:val="000000" w:themeColor="text1"/>
          <w:sz w:val="22"/>
        </w:rPr>
      </w:pPr>
    </w:p>
    <w:p w14:paraId="56677FF2" w14:textId="426DE88E" w:rsidR="00BD1825" w:rsidRPr="00584BCB" w:rsidRDefault="00BD1825" w:rsidP="00BD1825">
      <w:pPr>
        <w:rPr>
          <w:rFonts w:ascii="Rubik" w:hAnsi="Rubik"/>
          <w:color w:val="000000" w:themeColor="text1"/>
          <w:sz w:val="22"/>
        </w:rPr>
      </w:pPr>
    </w:p>
    <w:p w14:paraId="5BA448EB" w14:textId="4863B433" w:rsidR="00BD1825" w:rsidRPr="00584BCB" w:rsidRDefault="00BD1825" w:rsidP="00BD1825">
      <w:pPr>
        <w:rPr>
          <w:rFonts w:ascii="Rubik" w:hAnsi="Rubik"/>
          <w:color w:val="000000" w:themeColor="text1"/>
          <w:sz w:val="22"/>
        </w:rPr>
      </w:pPr>
    </w:p>
    <w:p w14:paraId="488E4FB0" w14:textId="2B5F8302" w:rsidR="00BD1825" w:rsidRPr="00584BCB" w:rsidRDefault="00BD1825" w:rsidP="00BD1825">
      <w:pPr>
        <w:rPr>
          <w:rFonts w:ascii="Rubik" w:hAnsi="Rubik"/>
          <w:color w:val="000000" w:themeColor="text1"/>
          <w:sz w:val="22"/>
        </w:rPr>
      </w:pPr>
    </w:p>
    <w:p w14:paraId="1693F77E" w14:textId="3855FB39" w:rsidR="00BD1825" w:rsidRPr="00584BCB" w:rsidRDefault="00BD1825" w:rsidP="00BD1825">
      <w:pPr>
        <w:rPr>
          <w:rFonts w:ascii="Rubik" w:hAnsi="Rubik"/>
          <w:color w:val="000000" w:themeColor="text1"/>
          <w:sz w:val="22"/>
        </w:rPr>
      </w:pPr>
    </w:p>
    <w:p w14:paraId="09FE7AB4" w14:textId="77777777" w:rsidR="00BD1825" w:rsidRPr="00584BCB" w:rsidRDefault="00BD1825" w:rsidP="00BD1825">
      <w:pPr>
        <w:rPr>
          <w:rFonts w:ascii="Rubik" w:hAnsi="Rubik"/>
          <w:color w:val="000000" w:themeColor="text1"/>
          <w:sz w:val="22"/>
        </w:rPr>
      </w:pPr>
    </w:p>
    <w:p w14:paraId="4AD481E6" w14:textId="77777777" w:rsidR="00B241F2" w:rsidRPr="00584BCB" w:rsidRDefault="00B241F2" w:rsidP="00BE76F9">
      <w:pPr>
        <w:pStyle w:val="Heading1"/>
        <w:rPr>
          <w:color w:val="000000" w:themeColor="text1"/>
        </w:rPr>
        <w:sectPr w:rsidR="00B241F2" w:rsidRPr="00584BCB" w:rsidSect="005C7481">
          <w:type w:val="continuous"/>
          <w:pgSz w:w="12240" w:h="15840"/>
          <w:pgMar w:top="1440" w:right="1440" w:bottom="1440" w:left="1440" w:header="720" w:footer="720" w:gutter="0"/>
          <w:cols w:space="720"/>
        </w:sectPr>
      </w:pPr>
    </w:p>
    <w:p w14:paraId="62495276" w14:textId="77777777" w:rsidR="00BB7207" w:rsidRPr="00584BCB" w:rsidRDefault="00BB7207" w:rsidP="00BE76F9">
      <w:pPr>
        <w:pStyle w:val="Heading1"/>
        <w:rPr>
          <w:color w:val="000000" w:themeColor="text1"/>
        </w:rPr>
        <w:sectPr w:rsidR="00BB7207" w:rsidRPr="00584BCB" w:rsidSect="00367125">
          <w:type w:val="continuous"/>
          <w:pgSz w:w="12240" w:h="15840"/>
          <w:pgMar w:top="1440" w:right="1869" w:bottom="1440" w:left="1440" w:header="720" w:footer="720" w:gutter="0"/>
          <w:cols w:num="2" w:space="709"/>
        </w:sectPr>
      </w:pPr>
    </w:p>
    <w:p w14:paraId="6A96867C" w14:textId="59623CBA" w:rsidR="00BD1825" w:rsidRPr="00584BCB" w:rsidRDefault="00BD1825" w:rsidP="00BE76F9">
      <w:pPr>
        <w:pStyle w:val="Heading1"/>
        <w:rPr>
          <w:color w:val="000000" w:themeColor="text1"/>
        </w:rPr>
      </w:pPr>
      <w:bookmarkStart w:id="35" w:name="_Toc66716613"/>
      <w:r w:rsidRPr="00584BCB">
        <w:rPr>
          <w:color w:val="000000" w:themeColor="text1"/>
        </w:rPr>
        <w:lastRenderedPageBreak/>
        <w:t>Summary of results</w:t>
      </w:r>
      <w:r w:rsidR="0009359D" w:rsidRPr="00584BCB">
        <w:rPr>
          <w:color w:val="000000" w:themeColor="text1"/>
        </w:rPr>
        <w:t xml:space="preserve"> and </w:t>
      </w:r>
      <w:r w:rsidRPr="00584BCB">
        <w:rPr>
          <w:color w:val="000000" w:themeColor="text1"/>
        </w:rPr>
        <w:t>conclusion</w:t>
      </w:r>
      <w:bookmarkEnd w:id="35"/>
    </w:p>
    <w:p w14:paraId="2BB2207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We found 23 RCTs with participants with psychosocial disability, and 3 RCTs with participants with autism assessing the effectiveness of vocational interventions. We found no RCTs assessing vocational interventions for people with intellectual disability. Our search for non-randomised interventions studies with people with autism or intellectual disability only identified two studies which were not included in this review. </w:t>
      </w:r>
    </w:p>
    <w:p w14:paraId="6B94FBED" w14:textId="53413AA6" w:rsidR="00BD1825" w:rsidRPr="00584BCB" w:rsidRDefault="00BD1825" w:rsidP="009F4F5E">
      <w:pPr>
        <w:ind w:right="77"/>
        <w:rPr>
          <w:rFonts w:ascii="Rubik" w:hAnsi="Rubik"/>
          <w:color w:val="000000" w:themeColor="text1"/>
          <w:sz w:val="22"/>
        </w:rPr>
      </w:pPr>
      <w:r w:rsidRPr="00584BCB">
        <w:rPr>
          <w:rFonts w:ascii="Rubik" w:hAnsi="Rubik"/>
          <w:color w:val="000000" w:themeColor="text1"/>
          <w:sz w:val="22"/>
        </w:rPr>
        <w:t xml:space="preserve">For people with psychosocial disability, we found evidence for a beneficial effect of IPS compared to traditional vocational rehabilitation or other control condition on open employment outcomes in almost all (11/12) studies. There was some evidence for IPS plus interventions over IPS only or another intervention. There was evidence from several studies that interventions using a </w:t>
      </w:r>
      <w:r w:rsidR="00347199" w:rsidRPr="00584BCB">
        <w:rPr>
          <w:rFonts w:ascii="Rubik" w:hAnsi="Rubik"/>
          <w:color w:val="000000" w:themeColor="text1"/>
          <w:sz w:val="22"/>
        </w:rPr>
        <w:t>vocational program</w:t>
      </w:r>
      <w:r w:rsidRPr="00584BCB">
        <w:rPr>
          <w:rFonts w:ascii="Rubik" w:hAnsi="Rubik"/>
          <w:color w:val="000000" w:themeColor="text1"/>
          <w:sz w:val="22"/>
        </w:rPr>
        <w:t xml:space="preserve"> component increased open employment outcomes, while studies assessing virtual reality job interview training and vocational empowerment photovoice reported no benefit. For people with autism, there is some evidence of benefit for Project SEARCH and ASD Supports on open employment participation, from three </w:t>
      </w:r>
      <w:r w:rsidRPr="00584BCB">
        <w:rPr>
          <w:rFonts w:ascii="Rubik" w:hAnsi="Rubik"/>
          <w:color w:val="000000" w:themeColor="text1"/>
          <w:sz w:val="22"/>
        </w:rPr>
        <w:t>studies with young people aged 18-21 years only</w:t>
      </w:r>
      <w:r w:rsidR="00C83ED4" w:rsidRPr="00584BCB">
        <w:rPr>
          <w:rFonts w:ascii="Rubik" w:hAnsi="Rubik"/>
          <w:color w:val="000000" w:themeColor="text1"/>
          <w:sz w:val="22"/>
        </w:rPr>
        <w:t xml:space="preserve">. </w:t>
      </w:r>
      <w:r w:rsidRPr="00584BCB">
        <w:rPr>
          <w:rFonts w:ascii="Rubik" w:hAnsi="Rubik"/>
          <w:color w:val="000000" w:themeColor="text1"/>
          <w:sz w:val="22"/>
        </w:rPr>
        <w:t xml:space="preserve">Regarding our secondary outcomes of </w:t>
      </w:r>
      <w:r w:rsidR="00E61883" w:rsidRPr="00584BCB">
        <w:rPr>
          <w:rFonts w:ascii="Rubik" w:hAnsi="Rubik"/>
          <w:color w:val="000000" w:themeColor="text1"/>
          <w:sz w:val="22"/>
        </w:rPr>
        <w:t>interest,</w:t>
      </w:r>
      <w:r w:rsidRPr="00584BCB">
        <w:rPr>
          <w:rFonts w:ascii="Rubik" w:hAnsi="Rubik"/>
          <w:color w:val="000000" w:themeColor="text1"/>
          <w:sz w:val="22"/>
        </w:rPr>
        <w:t xml:space="preserve"> few studies assessed sustained employment, work readiness, job satisfaction and cost-effectiveness, and no studies formally assessed barriers and facilitators for implementation. </w:t>
      </w:r>
    </w:p>
    <w:p w14:paraId="4D91ACDB" w14:textId="53B554B4" w:rsidR="00BD1825" w:rsidRPr="00584BCB" w:rsidRDefault="00BD1825" w:rsidP="00E92318">
      <w:pPr>
        <w:ind w:right="72"/>
        <w:rPr>
          <w:rFonts w:ascii="Rubik" w:hAnsi="Rubik"/>
          <w:color w:val="000000" w:themeColor="text1"/>
          <w:sz w:val="22"/>
        </w:rPr>
      </w:pPr>
      <w:r w:rsidRPr="00584BCB">
        <w:rPr>
          <w:rFonts w:ascii="Rubik" w:hAnsi="Rubik"/>
          <w:color w:val="000000" w:themeColor="text1"/>
          <w:sz w:val="22"/>
        </w:rPr>
        <w:t xml:space="preserve">All included studies were assessed as having a moderate or high risk of bias, mainly due to a lack of published study protocols and/or statistical analysis plans, missing outcome data and potential for selective reporting. Due to the large variability in the operationalisation and measurement of the outcome for both open and </w:t>
      </w:r>
      <w:r w:rsidR="001007FB" w:rsidRPr="00584BCB">
        <w:rPr>
          <w:rFonts w:ascii="Rubik" w:hAnsi="Rubik"/>
          <w:color w:val="000000" w:themeColor="text1"/>
          <w:sz w:val="22"/>
        </w:rPr>
        <w:t>supported</w:t>
      </w:r>
      <w:r w:rsidRPr="00584BCB">
        <w:rPr>
          <w:rFonts w:ascii="Rubik" w:hAnsi="Rubik"/>
          <w:color w:val="000000" w:themeColor="text1"/>
          <w:sz w:val="22"/>
        </w:rPr>
        <w:t xml:space="preserve"> employment, we could not conduct a meta-analysis or GRADE assessment. Future efforts should be focused on establishing consistent standards of outcome measurement for employment interventions in this area, and publishing study protocols including outcome definition, measurement and statistical analysis plans. Furthermore, interventions assessing the effectiveness of vocational interventions on </w:t>
      </w:r>
      <w:r w:rsidR="0036362D" w:rsidRPr="00584BCB">
        <w:rPr>
          <w:rFonts w:ascii="Rubik" w:hAnsi="Rubik"/>
          <w:color w:val="000000" w:themeColor="text1"/>
          <w:sz w:val="22"/>
        </w:rPr>
        <w:t>vocational programs</w:t>
      </w:r>
      <w:r w:rsidRPr="00584BCB">
        <w:rPr>
          <w:rFonts w:ascii="Rubik" w:hAnsi="Rubik"/>
          <w:color w:val="000000" w:themeColor="text1"/>
          <w:sz w:val="22"/>
        </w:rPr>
        <w:t xml:space="preserve"> for adults with autism, and for people with intellectual disability are completely lacking and are urgently needed. </w:t>
      </w:r>
    </w:p>
    <w:p w14:paraId="5250E6F6" w14:textId="77777777" w:rsidR="0036362D" w:rsidRPr="00584BCB" w:rsidRDefault="0036362D" w:rsidP="00BD1825">
      <w:pPr>
        <w:rPr>
          <w:rFonts w:ascii="Rubik" w:hAnsi="Rubik"/>
          <w:color w:val="000000" w:themeColor="text1"/>
          <w:sz w:val="22"/>
        </w:rPr>
      </w:pPr>
    </w:p>
    <w:p w14:paraId="65711E77" w14:textId="77777777" w:rsidR="00B241F2" w:rsidRPr="00584BCB" w:rsidRDefault="00B241F2" w:rsidP="00BD1825">
      <w:pPr>
        <w:rPr>
          <w:rFonts w:ascii="Rubik" w:hAnsi="Rubik"/>
          <w:color w:val="000000" w:themeColor="text1"/>
          <w:sz w:val="22"/>
        </w:rPr>
        <w:sectPr w:rsidR="00B241F2" w:rsidRPr="00584BCB" w:rsidSect="00367125">
          <w:pgSz w:w="12240" w:h="15840"/>
          <w:pgMar w:top="1440" w:right="1440" w:bottom="1440" w:left="1440" w:header="720" w:footer="720" w:gutter="0"/>
          <w:cols w:num="2" w:space="416"/>
        </w:sectPr>
      </w:pPr>
    </w:p>
    <w:p w14:paraId="68A12DD7" w14:textId="55883549" w:rsidR="00BD1825" w:rsidRPr="00584BCB" w:rsidRDefault="00BD1825" w:rsidP="00BD1825">
      <w:pPr>
        <w:rPr>
          <w:rFonts w:ascii="Rubik" w:hAnsi="Rubik"/>
          <w:color w:val="000000" w:themeColor="text1"/>
          <w:sz w:val="22"/>
        </w:rPr>
      </w:pPr>
      <w:r w:rsidRPr="00584BCB">
        <w:rPr>
          <w:rFonts w:ascii="Rubik" w:hAnsi="Rubik"/>
          <w:color w:val="000000" w:themeColor="text1"/>
          <w:sz w:val="22"/>
        </w:rPr>
        <w:br w:type="page"/>
      </w:r>
    </w:p>
    <w:p w14:paraId="0A687A9C" w14:textId="3D47D064" w:rsidR="00BD1825" w:rsidRPr="00584BCB" w:rsidRDefault="00BD1825" w:rsidP="00BE76F9">
      <w:pPr>
        <w:pStyle w:val="Heading1"/>
        <w:rPr>
          <w:color w:val="000000" w:themeColor="text1"/>
        </w:rPr>
      </w:pPr>
      <w:bookmarkStart w:id="36" w:name="_Toc66716614"/>
      <w:r w:rsidRPr="00584BCB">
        <w:rPr>
          <w:color w:val="000000" w:themeColor="text1"/>
        </w:rPr>
        <w:lastRenderedPageBreak/>
        <w:t>References</w:t>
      </w:r>
      <w:bookmarkEnd w:id="36"/>
      <w:r w:rsidRPr="00584BCB">
        <w:rPr>
          <w:color w:val="000000" w:themeColor="text1"/>
        </w:rPr>
        <w:t xml:space="preserve"> </w:t>
      </w:r>
    </w:p>
    <w:p w14:paraId="65345C8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ZOTERO_BIBL {"uncited":[],"omitted":[],"custom":[]} CSL_BIBLIOGRAPHY </w:instrText>
      </w:r>
      <w:r w:rsidRPr="00584BCB">
        <w:rPr>
          <w:rFonts w:ascii="Rubik" w:hAnsi="Rubik"/>
          <w:color w:val="000000" w:themeColor="text1"/>
          <w:sz w:val="22"/>
        </w:rPr>
        <w:fldChar w:fldCharType="separate"/>
      </w:r>
      <w:r w:rsidRPr="00584BCB">
        <w:rPr>
          <w:rFonts w:ascii="Rubik" w:hAnsi="Rubik"/>
          <w:color w:val="000000" w:themeColor="text1"/>
          <w:sz w:val="22"/>
        </w:rPr>
        <w:t xml:space="preserve">1. </w:t>
      </w:r>
      <w:r w:rsidRPr="00584BCB">
        <w:rPr>
          <w:rFonts w:ascii="Rubik" w:hAnsi="Rubik"/>
          <w:color w:val="000000" w:themeColor="text1"/>
          <w:sz w:val="22"/>
        </w:rPr>
        <w:tab/>
        <w:t>High income | Data, https://data.worldbank.org/country/XD (accessed 5 October 2020).</w:t>
      </w:r>
    </w:p>
    <w:p w14:paraId="24CFA20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 </w:t>
      </w:r>
      <w:r w:rsidRPr="00584BCB">
        <w:rPr>
          <w:rFonts w:ascii="Rubik" w:hAnsi="Rubik"/>
          <w:color w:val="000000" w:themeColor="text1"/>
          <w:sz w:val="22"/>
        </w:rPr>
        <w:tab/>
        <w:t>Royal Australian and New Zealand College of Psychiatrists. The economic cost of serious mental illness and comorbidities in Australia and New Zealand. Melbourne, Australia: Royal Australian and New Zealand College of Psychiatrists (RANZCP).</w:t>
      </w:r>
    </w:p>
    <w:p w14:paraId="4C87DCB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 </w:t>
      </w:r>
      <w:r w:rsidRPr="00584BCB">
        <w:rPr>
          <w:rFonts w:ascii="Rubik" w:hAnsi="Rubik"/>
          <w:color w:val="000000" w:themeColor="text1"/>
          <w:sz w:val="22"/>
        </w:rPr>
        <w:tab/>
        <w:t>Crowther R, Marshall M, Bond G, et al. Vocational rehabilitation for people with severe mental illness. Cochrane Database Syst Rev 2001; CD003080.</w:t>
      </w:r>
    </w:p>
    <w:p w14:paraId="132AD06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 </w:t>
      </w:r>
      <w:r w:rsidRPr="00584BCB">
        <w:rPr>
          <w:rFonts w:ascii="Rubik" w:hAnsi="Rubik"/>
          <w:color w:val="000000" w:themeColor="text1"/>
          <w:sz w:val="22"/>
        </w:rPr>
        <w:tab/>
        <w:t>Kinoshita Y, Furukawa TA, Kinoshita K, et al. Supported employment for adults with severe mental illness. Cochrane Database Syst Rev. Epub ahead of print 2013. DOI: 10.1002/14651858.CD008297.pub2.</w:t>
      </w:r>
    </w:p>
    <w:p w14:paraId="6C894E7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nl-NL"/>
        </w:rPr>
        <w:t xml:space="preserve">5. </w:t>
      </w:r>
      <w:r w:rsidRPr="00584BCB">
        <w:rPr>
          <w:rFonts w:ascii="Rubik" w:hAnsi="Rubik"/>
          <w:color w:val="000000" w:themeColor="text1"/>
          <w:sz w:val="22"/>
          <w:lang w:val="nl-NL"/>
        </w:rPr>
        <w:tab/>
        <w:t xml:space="preserve">Suijkerbuijk YB, Schaafsma FG, Mechelen JC van, et al. </w:t>
      </w:r>
      <w:r w:rsidRPr="00584BCB">
        <w:rPr>
          <w:rFonts w:ascii="Rubik" w:hAnsi="Rubik"/>
          <w:color w:val="000000" w:themeColor="text1"/>
          <w:sz w:val="22"/>
        </w:rPr>
        <w:t>Interventions for obtaining and maintaining employment in adults with severe mental illness, a network meta</w:t>
      </w:r>
      <w:r w:rsidRPr="00584BCB">
        <w:rPr>
          <w:rFonts w:ascii="Cambria Math" w:hAnsi="Cambria Math" w:cs="Cambria Math"/>
          <w:color w:val="000000" w:themeColor="text1"/>
          <w:sz w:val="22"/>
        </w:rPr>
        <w:t>‐</w:t>
      </w:r>
      <w:r w:rsidRPr="00584BCB">
        <w:rPr>
          <w:rFonts w:ascii="Rubik" w:hAnsi="Rubik"/>
          <w:color w:val="000000" w:themeColor="text1"/>
          <w:sz w:val="22"/>
        </w:rPr>
        <w:t>analysis. Cochrane Database Syst Rev. Epub ahead of print 2017. DOI: 10.1002/14651858.CD011867.pub2.</w:t>
      </w:r>
    </w:p>
    <w:p w14:paraId="6A94FA2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6. </w:t>
      </w:r>
      <w:r w:rsidRPr="00584BCB">
        <w:rPr>
          <w:rFonts w:ascii="Rubik" w:hAnsi="Rubik"/>
          <w:color w:val="000000" w:themeColor="text1"/>
          <w:sz w:val="22"/>
        </w:rPr>
        <w:tab/>
        <w:t>National Disability Insurance Agency. NDIS Participant Employment Strategy 2019 - 2022. National Disability Insurance Agency.</w:t>
      </w:r>
    </w:p>
    <w:p w14:paraId="704DCE55" w14:textId="6F30FEE4"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7. </w:t>
      </w:r>
      <w:r w:rsidRPr="00584BCB">
        <w:rPr>
          <w:rFonts w:ascii="Rubik" w:hAnsi="Rubik"/>
          <w:color w:val="000000" w:themeColor="text1"/>
          <w:sz w:val="22"/>
        </w:rPr>
        <w:tab/>
        <w:t xml:space="preserve">Nevala N, Pehkonen I, Teittinen A, et al. The Effectiveness of Rehabilitation Interventions on the Employment and Functioning of People with Intellectual </w:t>
      </w:r>
      <w:r w:rsidR="000823D5" w:rsidRPr="00584BCB">
        <w:rPr>
          <w:rFonts w:ascii="Rubik" w:hAnsi="Rubik"/>
          <w:color w:val="000000" w:themeColor="text1"/>
          <w:sz w:val="22"/>
        </w:rPr>
        <w:t>Disability</w:t>
      </w:r>
      <w:r w:rsidRPr="00584BCB">
        <w:rPr>
          <w:rFonts w:ascii="Rubik" w:hAnsi="Rubik"/>
          <w:color w:val="000000" w:themeColor="text1"/>
          <w:sz w:val="22"/>
        </w:rPr>
        <w:t>: A Systematic Review. J Occup Rehabil 2019; 29: 773–802.</w:t>
      </w:r>
    </w:p>
    <w:p w14:paraId="73F1921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8. </w:t>
      </w:r>
      <w:r w:rsidRPr="00584BCB">
        <w:rPr>
          <w:rFonts w:ascii="Rubik" w:hAnsi="Rubik"/>
          <w:color w:val="000000" w:themeColor="text1"/>
          <w:sz w:val="22"/>
        </w:rPr>
        <w:tab/>
        <w:t>Cheng C, Oakman J, Bigby C, et al. What constitutes effective support in obtaining and maintaining employment for individuals with intellectual disability? A scoping review. J Intellect Dev Disabil 2018; 43: 317–327.</w:t>
      </w:r>
    </w:p>
    <w:p w14:paraId="157F002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9. </w:t>
      </w:r>
      <w:r w:rsidRPr="00584BCB">
        <w:rPr>
          <w:rFonts w:ascii="Rubik" w:hAnsi="Rubik"/>
          <w:color w:val="000000" w:themeColor="text1"/>
          <w:sz w:val="22"/>
        </w:rPr>
        <w:tab/>
        <w:t>Hedley D, Uljarević M, Cameron L, et al. Employment programmes and interventions targeting adults with autism spectrum disorder: A systematic review of the literature. Autism 2017; 21: 929–941.</w:t>
      </w:r>
    </w:p>
    <w:p w14:paraId="4434E89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10. </w:t>
      </w:r>
      <w:r w:rsidRPr="00584BCB">
        <w:rPr>
          <w:rFonts w:ascii="Rubik" w:hAnsi="Rubik"/>
          <w:color w:val="000000" w:themeColor="text1"/>
          <w:sz w:val="22"/>
        </w:rPr>
        <w:tab/>
        <w:t>Modini M, Tan L, Brinchmann B, et al. Supported employment for people with severe mental illness: Systematic review and meta-analysis of the international evidence. Br J Psychiatry 2016; 209: 14–22.</w:t>
      </w:r>
    </w:p>
    <w:p w14:paraId="3CCC2407" w14:textId="76CF4ECE"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11. </w:t>
      </w:r>
      <w:r w:rsidRPr="00584BCB">
        <w:rPr>
          <w:rFonts w:ascii="Rubik" w:hAnsi="Rubik"/>
          <w:color w:val="000000" w:themeColor="text1"/>
          <w:sz w:val="22"/>
        </w:rPr>
        <w:tab/>
        <w:t xml:space="preserve">Lindsay S, McDougall C, Sanford R, et al. Exploring employment readiness through mock job interview and workplace role-play exercises: Comparing youth with physical </w:t>
      </w:r>
      <w:r w:rsidR="000823D5" w:rsidRPr="00584BCB">
        <w:rPr>
          <w:rFonts w:ascii="Rubik" w:hAnsi="Rubik"/>
          <w:color w:val="000000" w:themeColor="text1"/>
          <w:sz w:val="22"/>
        </w:rPr>
        <w:t>disability</w:t>
      </w:r>
      <w:r w:rsidRPr="00584BCB">
        <w:rPr>
          <w:rFonts w:ascii="Rubik" w:hAnsi="Rubik"/>
          <w:color w:val="000000" w:themeColor="text1"/>
          <w:sz w:val="22"/>
        </w:rPr>
        <w:t xml:space="preserve"> to their typically developing peers. Disabil Rehabil 2015; 37: 1651–1663.</w:t>
      </w:r>
    </w:p>
    <w:p w14:paraId="7E8EF057" w14:textId="0355FF1D"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12. </w:t>
      </w:r>
      <w:r w:rsidRPr="00584BCB">
        <w:rPr>
          <w:rFonts w:ascii="Rubik" w:hAnsi="Rubik"/>
          <w:color w:val="000000" w:themeColor="text1"/>
          <w:sz w:val="22"/>
        </w:rPr>
        <w:tab/>
        <w:t xml:space="preserve">Müller E, Vangilder R. The relationship between participation in Project SEARCH and job readiness and employment for young adults with </w:t>
      </w:r>
      <w:r w:rsidR="000823D5" w:rsidRPr="00584BCB">
        <w:rPr>
          <w:rFonts w:ascii="Rubik" w:hAnsi="Rubik"/>
          <w:color w:val="000000" w:themeColor="text1"/>
          <w:sz w:val="22"/>
        </w:rPr>
        <w:t>disability</w:t>
      </w:r>
      <w:r w:rsidRPr="00584BCB">
        <w:rPr>
          <w:rFonts w:ascii="Rubik" w:hAnsi="Rubik"/>
          <w:color w:val="000000" w:themeColor="text1"/>
          <w:sz w:val="22"/>
        </w:rPr>
        <w:t>. J Vocat Rehabil 2014; 40: 15–26.</w:t>
      </w:r>
    </w:p>
    <w:p w14:paraId="4CA7249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13. </w:t>
      </w:r>
      <w:r w:rsidRPr="00584BCB">
        <w:rPr>
          <w:rFonts w:ascii="Rubik" w:hAnsi="Rubik"/>
          <w:color w:val="000000" w:themeColor="text1"/>
          <w:sz w:val="22"/>
        </w:rPr>
        <w:tab/>
        <w:t>Higgins JPT, Altman DG, Gøtzsche PC, et al. The Cochrane Collaboration’s tool for assessing risk of bias in randomised trials. BMJ; 343. Epub ahead of print 18 October 2011. DOI: 10.1136/bmj.d5928.</w:t>
      </w:r>
    </w:p>
    <w:p w14:paraId="43341078" w14:textId="07125589"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rPr>
        <w:lastRenderedPageBreak/>
        <w:t xml:space="preserve">14. </w:t>
      </w:r>
      <w:r w:rsidRPr="00584BCB">
        <w:rPr>
          <w:rFonts w:ascii="Rubik" w:hAnsi="Rubik"/>
          <w:color w:val="000000" w:themeColor="text1"/>
          <w:sz w:val="22"/>
        </w:rPr>
        <w:tab/>
        <w:t xml:space="preserve">Sterne JA, Hernán MA, Reeves BC, et al. ROBINS-I: a tool for assessing risk of bias in non-randomised studies of interventions. </w:t>
      </w:r>
      <w:r w:rsidRPr="00584BCB">
        <w:rPr>
          <w:rFonts w:ascii="Rubik" w:hAnsi="Rubik"/>
          <w:color w:val="000000" w:themeColor="text1"/>
          <w:sz w:val="22"/>
          <w:lang w:val="it-IT"/>
        </w:rPr>
        <w:t>BMJ 2016; 355: i4919.</w:t>
      </w:r>
    </w:p>
    <w:p w14:paraId="3F68B458" w14:textId="52A410B9" w:rsidR="00BD1825" w:rsidRPr="00584BCB" w:rsidRDefault="00BD1825" w:rsidP="00BD1825">
      <w:pPr>
        <w:rPr>
          <w:rFonts w:ascii="Rubik" w:hAnsi="Rubik"/>
          <w:color w:val="000000" w:themeColor="text1"/>
          <w:sz w:val="22"/>
          <w:lang w:val="nl-NL"/>
        </w:rPr>
      </w:pPr>
      <w:r w:rsidRPr="00584BCB">
        <w:rPr>
          <w:rFonts w:ascii="Rubik" w:hAnsi="Rubik"/>
          <w:color w:val="000000" w:themeColor="text1"/>
          <w:sz w:val="22"/>
          <w:lang w:val="it-IT"/>
        </w:rPr>
        <w:t xml:space="preserve">15. </w:t>
      </w:r>
      <w:r w:rsidRPr="00584BCB">
        <w:rPr>
          <w:rFonts w:ascii="Rubik" w:hAnsi="Rubik"/>
          <w:color w:val="000000" w:themeColor="text1"/>
          <w:sz w:val="22"/>
          <w:lang w:val="it-IT"/>
        </w:rPr>
        <w:tab/>
        <w:t xml:space="preserve">Russinova Z, Gidugu V, Bloch P, et al. </w:t>
      </w:r>
      <w:r w:rsidRPr="00584BCB">
        <w:rPr>
          <w:rFonts w:ascii="Rubik" w:hAnsi="Rubik"/>
          <w:color w:val="000000" w:themeColor="text1"/>
          <w:sz w:val="22"/>
        </w:rPr>
        <w:t xml:space="preserve">Empowering individuals with psychiatric </w:t>
      </w:r>
      <w:r w:rsidR="000823D5" w:rsidRPr="00584BCB">
        <w:rPr>
          <w:rFonts w:ascii="Rubik" w:hAnsi="Rubik"/>
          <w:color w:val="000000" w:themeColor="text1"/>
          <w:sz w:val="22"/>
        </w:rPr>
        <w:t>disability</w:t>
      </w:r>
      <w:r w:rsidRPr="00584BCB">
        <w:rPr>
          <w:rFonts w:ascii="Rubik" w:hAnsi="Rubik"/>
          <w:color w:val="000000" w:themeColor="text1"/>
          <w:sz w:val="22"/>
        </w:rPr>
        <w:t xml:space="preserve"> to work: Results of a randomized trial. </w:t>
      </w:r>
      <w:r w:rsidRPr="00584BCB">
        <w:rPr>
          <w:rFonts w:ascii="Rubik" w:hAnsi="Rubik"/>
          <w:color w:val="000000" w:themeColor="text1"/>
          <w:sz w:val="22"/>
          <w:lang w:val="nl-NL"/>
        </w:rPr>
        <w:t>Psychiatr Rehabil J 2018; 41: 196–207.</w:t>
      </w:r>
    </w:p>
    <w:p w14:paraId="2EDB6B4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nl-NL"/>
        </w:rPr>
        <w:t xml:space="preserve">16. </w:t>
      </w:r>
      <w:r w:rsidRPr="00584BCB">
        <w:rPr>
          <w:rFonts w:ascii="Rubik" w:hAnsi="Rubik"/>
          <w:color w:val="000000" w:themeColor="text1"/>
          <w:sz w:val="22"/>
          <w:lang w:val="nl-NL"/>
        </w:rPr>
        <w:tab/>
        <w:t xml:space="preserve">Bond GR, Kim SJ, Becker DR, et al. </w:t>
      </w:r>
      <w:r w:rsidRPr="00584BCB">
        <w:rPr>
          <w:rFonts w:ascii="Rubik" w:hAnsi="Rubik"/>
          <w:color w:val="000000" w:themeColor="text1"/>
          <w:sz w:val="22"/>
        </w:rPr>
        <w:t>A Controlled Trial of Supported Employment for People With Severe Mental Illness and Justice Involvement. Psychiatr Serv 2015; 66: 1027–1034.</w:t>
      </w:r>
    </w:p>
    <w:p w14:paraId="32AEB44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17. </w:t>
      </w:r>
      <w:r w:rsidRPr="00584BCB">
        <w:rPr>
          <w:rFonts w:ascii="Rubik" w:hAnsi="Rubik"/>
          <w:color w:val="000000" w:themeColor="text1"/>
          <w:sz w:val="22"/>
        </w:rPr>
        <w:tab/>
        <w:t>Smith MJ, Fleming MF, Wright MA, et al. Virtual reality job interview training and 6-month employment outcomes for individuals with schizophrenia seeking employment. Schizophr Res 2015; 166: 86–91.</w:t>
      </w:r>
    </w:p>
    <w:p w14:paraId="7346871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18. </w:t>
      </w:r>
      <w:r w:rsidRPr="00584BCB">
        <w:rPr>
          <w:rFonts w:ascii="Rubik" w:hAnsi="Rubik"/>
          <w:color w:val="000000" w:themeColor="text1"/>
          <w:sz w:val="22"/>
        </w:rPr>
        <w:tab/>
        <w:t>Nuechterlein KH, Subotnik KL, Ventura J, et al. Enhancing return to work or school after a first episode of schizophrenia: the UCLA RCT of Individual Placement and Support and Workplace Fundamentals Module training. Psychol Med 2020; 50: 20–28.</w:t>
      </w:r>
    </w:p>
    <w:p w14:paraId="73BA71B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19. </w:t>
      </w:r>
      <w:r w:rsidRPr="00584BCB">
        <w:rPr>
          <w:rFonts w:ascii="Rubik" w:hAnsi="Rubik"/>
          <w:color w:val="000000" w:themeColor="text1"/>
          <w:sz w:val="22"/>
        </w:rPr>
        <w:tab/>
        <w:t>Twamley EW, Vella L, Burton CZ, et al. The efficacy of supported employment for middle-aged and older people with schizophrenia. Schizophr Res 2012; 135: 100–104.</w:t>
      </w:r>
    </w:p>
    <w:p w14:paraId="52AAA34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20. </w:t>
      </w:r>
      <w:r w:rsidRPr="00584BCB">
        <w:rPr>
          <w:rFonts w:ascii="Rubik" w:hAnsi="Rubik"/>
          <w:color w:val="000000" w:themeColor="text1"/>
          <w:sz w:val="22"/>
        </w:rPr>
        <w:tab/>
        <w:t>Killackey E, Allott K, Jackson HJ, et al. Individual placement and support for vocational recovery in first-episode psychosis: randomised controlled trial. Br J Psychiatry 2019; 214: 76–82.</w:t>
      </w:r>
    </w:p>
    <w:p w14:paraId="77477EA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21. </w:t>
      </w:r>
      <w:r w:rsidRPr="00584BCB">
        <w:rPr>
          <w:rFonts w:ascii="Rubik" w:hAnsi="Rubik"/>
          <w:color w:val="000000" w:themeColor="text1"/>
          <w:sz w:val="22"/>
        </w:rPr>
        <w:tab/>
        <w:t>Erickson DH, Roes MM, DiGiacomo A, et al. “Individual Placement and Support” boosts employment for early psychosis clients, even when baseline rates are high. Early Interv Psychiatry; n/a. DOI: https://doi.org/10.1111/eip.13005.</w:t>
      </w:r>
    </w:p>
    <w:p w14:paraId="0CD21FD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22. </w:t>
      </w:r>
      <w:r w:rsidRPr="00584BCB">
        <w:rPr>
          <w:rFonts w:ascii="Rubik" w:hAnsi="Rubik"/>
          <w:color w:val="000000" w:themeColor="text1"/>
          <w:sz w:val="22"/>
        </w:rPr>
        <w:tab/>
        <w:t>Craig T, Shepherd G, Rinaldi M, et al. Vocational rehabilitation in early psychosis: cluster randomised trial. Br J Psychiatry 2014; 205: 145–150.</w:t>
      </w:r>
    </w:p>
    <w:p w14:paraId="741D237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23. </w:t>
      </w:r>
      <w:r w:rsidRPr="00584BCB">
        <w:rPr>
          <w:rFonts w:ascii="Rubik" w:hAnsi="Rubik"/>
          <w:color w:val="000000" w:themeColor="text1"/>
          <w:sz w:val="22"/>
        </w:rPr>
        <w:tab/>
        <w:t>Davis LL, Leon AC, Toscano R, et al. A Randomized Controlled Trial of Supported Employment Among Veterans With Posttraumatic Stress Disorder. Psychiatr Serv 2012; 63: 464–470.</w:t>
      </w:r>
    </w:p>
    <w:p w14:paraId="1CE5B52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24. </w:t>
      </w:r>
      <w:r w:rsidRPr="00584BCB">
        <w:rPr>
          <w:rFonts w:ascii="Rubik" w:hAnsi="Rubik"/>
          <w:color w:val="000000" w:themeColor="text1"/>
          <w:sz w:val="22"/>
        </w:rPr>
        <w:tab/>
        <w:t>Davis M, Sheidow AJ, McCart MR, et al. Vocational coaches for justice-involved emerging adults. Psychiatr Rehabil J 2018; 41: 266–276.</w:t>
      </w:r>
    </w:p>
    <w:p w14:paraId="3363E3B3" w14:textId="77777777" w:rsidR="00BD1825" w:rsidRPr="00584BCB" w:rsidRDefault="00BD1825" w:rsidP="00BD1825">
      <w:pPr>
        <w:rPr>
          <w:rFonts w:ascii="Rubik" w:hAnsi="Rubik"/>
          <w:color w:val="000000" w:themeColor="text1"/>
          <w:sz w:val="22"/>
          <w:lang w:val="de-DE"/>
        </w:rPr>
      </w:pPr>
      <w:r w:rsidRPr="00584BCB">
        <w:rPr>
          <w:rFonts w:ascii="Rubik" w:hAnsi="Rubik"/>
          <w:color w:val="000000" w:themeColor="text1"/>
          <w:sz w:val="22"/>
        </w:rPr>
        <w:t xml:space="preserve">25. </w:t>
      </w:r>
      <w:r w:rsidRPr="00584BCB">
        <w:rPr>
          <w:rFonts w:ascii="Rubik" w:hAnsi="Rubik"/>
          <w:color w:val="000000" w:themeColor="text1"/>
          <w:sz w:val="22"/>
        </w:rPr>
        <w:tab/>
        <w:t xml:space="preserve">Tsang HWH, Fung KMT, Leung AY, et al. Three Year Follow-Up Study of an Integrated Supported Employment for Individuals with Severe Mental Illness. </w:t>
      </w:r>
      <w:r w:rsidRPr="00584BCB">
        <w:rPr>
          <w:rFonts w:ascii="Rubik" w:hAnsi="Rubik"/>
          <w:color w:val="000000" w:themeColor="text1"/>
          <w:sz w:val="22"/>
          <w:lang w:val="de-DE"/>
        </w:rPr>
        <w:t>Aust N Z J Psychiatry 2010; 44: 49–58.</w:t>
      </w:r>
    </w:p>
    <w:p w14:paraId="1A2322E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de-DE"/>
        </w:rPr>
        <w:t xml:space="preserve">26. </w:t>
      </w:r>
      <w:r w:rsidRPr="00584BCB">
        <w:rPr>
          <w:rFonts w:ascii="Rubik" w:hAnsi="Rubik"/>
          <w:color w:val="000000" w:themeColor="text1"/>
          <w:sz w:val="22"/>
          <w:lang w:val="de-DE"/>
        </w:rPr>
        <w:tab/>
        <w:t xml:space="preserve">Michon H, Busschbach JT van, Stant AD, et al. </w:t>
      </w:r>
      <w:r w:rsidRPr="00584BCB">
        <w:rPr>
          <w:rFonts w:ascii="Rubik" w:hAnsi="Rubik"/>
          <w:color w:val="000000" w:themeColor="text1"/>
          <w:sz w:val="22"/>
        </w:rPr>
        <w:t>Effectiveness of Individual Placement and Support for People With Severe Mental Illness in the Netherlands: A 30-Month Randomized Controlled Trial. Psychiatr Rehabil J 2014; 37: 129–136.</w:t>
      </w:r>
    </w:p>
    <w:p w14:paraId="50FE6F0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27. </w:t>
      </w:r>
      <w:r w:rsidRPr="00584BCB">
        <w:rPr>
          <w:rFonts w:ascii="Rubik" w:hAnsi="Rubik"/>
          <w:color w:val="000000" w:themeColor="text1"/>
          <w:sz w:val="22"/>
        </w:rPr>
        <w:tab/>
        <w:t>Bejerholm U, Areberg C, Hofgren C, et al. Individual placement and support in Sweden - a randomized controlled trial. Nord J Psychiatry 2015; 69: 57–66.</w:t>
      </w:r>
    </w:p>
    <w:p w14:paraId="4BF53B9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28. </w:t>
      </w:r>
      <w:r w:rsidRPr="00584BCB">
        <w:rPr>
          <w:rFonts w:ascii="Rubik" w:hAnsi="Rubik"/>
          <w:color w:val="000000" w:themeColor="text1"/>
          <w:sz w:val="22"/>
        </w:rPr>
        <w:tab/>
        <w:t>Heslin M, Howard L, Leese M, et al. Randomized controlled trial of supported employment in England: 2 year follow-up of the Supported Work and Needs (SWAN) study. World Psychiatry Off J World Psychiatr Assoc WPA 2011; 10: 132–137.</w:t>
      </w:r>
    </w:p>
    <w:p w14:paraId="19FC4C4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lastRenderedPageBreak/>
        <w:t xml:space="preserve">29. </w:t>
      </w:r>
      <w:r w:rsidRPr="00584BCB">
        <w:rPr>
          <w:rFonts w:ascii="Rubik" w:hAnsi="Rubik"/>
          <w:color w:val="000000" w:themeColor="text1"/>
          <w:sz w:val="22"/>
        </w:rPr>
        <w:tab/>
        <w:t>Oshima I, Sono T, Bond GR, et al. A randomized controlled trial of individual placement and support in Japan. Psychiatr Rehabil J 2014; 37: 137–143.</w:t>
      </w:r>
    </w:p>
    <w:p w14:paraId="7F07F92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30. </w:t>
      </w:r>
      <w:r w:rsidRPr="00584BCB">
        <w:rPr>
          <w:rFonts w:ascii="Rubik" w:hAnsi="Rubik"/>
          <w:color w:val="000000" w:themeColor="text1"/>
          <w:sz w:val="22"/>
        </w:rPr>
        <w:tab/>
        <w:t>Wehman PH, Schall CM, McDonough J, et al. Competitive Employment for Youth with Autism Spectrum Disorders: Early Results from a Randomized Clinical Trial. J Autism Dev Disord 2014; 44: 487–500.</w:t>
      </w:r>
    </w:p>
    <w:p w14:paraId="6FEDCBB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31. </w:t>
      </w:r>
      <w:r w:rsidRPr="00584BCB">
        <w:rPr>
          <w:rFonts w:ascii="Rubik" w:hAnsi="Rubik"/>
          <w:color w:val="000000" w:themeColor="text1"/>
          <w:sz w:val="22"/>
        </w:rPr>
        <w:tab/>
        <w:t>Wehman P, Schall CM, McDonough J, et al. Effects of an employer-based intervention on employment outcomes for youth with significant support needs due to autism. Autism 2017; 21: 276–290.</w:t>
      </w:r>
    </w:p>
    <w:p w14:paraId="10AE26F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32. </w:t>
      </w:r>
      <w:r w:rsidRPr="00584BCB">
        <w:rPr>
          <w:rFonts w:ascii="Rubik" w:hAnsi="Rubik"/>
          <w:color w:val="000000" w:themeColor="text1"/>
          <w:sz w:val="22"/>
        </w:rPr>
        <w:tab/>
        <w:t>Wehman P, Schall C, McDonough J, et al. Competitive Employment for Transition-Aged Youth with Significant Impact from Autism: A Multi-site Randomized Clinical Trial. J Autism Dev Disord 2020; 50: 1882–1897.</w:t>
      </w:r>
    </w:p>
    <w:p w14:paraId="041AB89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33. </w:t>
      </w:r>
      <w:r w:rsidRPr="00584BCB">
        <w:rPr>
          <w:rFonts w:ascii="Rubik" w:hAnsi="Rubik"/>
          <w:color w:val="000000" w:themeColor="text1"/>
          <w:sz w:val="22"/>
        </w:rPr>
        <w:tab/>
        <w:t>Whittenburg HN, Schall CM, Wehman P, et al. Helping High School-Aged Military Dependents With Autism Gain Employment Through Project SEARCH + ASD Supports. Mil Med 2020; 185: 663–668.</w:t>
      </w:r>
    </w:p>
    <w:p w14:paraId="1027416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34. </w:t>
      </w:r>
      <w:r w:rsidRPr="00584BCB">
        <w:rPr>
          <w:rFonts w:ascii="Rubik" w:hAnsi="Rubik"/>
          <w:color w:val="000000" w:themeColor="text1"/>
          <w:sz w:val="22"/>
        </w:rPr>
        <w:tab/>
        <w:t>Smith MJ, Fleming MF, Wright MA, et al. Job offers to individuals with severe mental illness after participation in virtual reality job interview training. Psychiatr Serv 2015; 66: 1173–1179.</w:t>
      </w:r>
    </w:p>
    <w:p w14:paraId="4D05FFFD" w14:textId="77777777" w:rsidR="00BD1825" w:rsidRPr="00584BCB" w:rsidRDefault="00BD1825" w:rsidP="00BD1825">
      <w:pPr>
        <w:rPr>
          <w:rFonts w:ascii="Rubik" w:hAnsi="Rubik"/>
          <w:color w:val="000000" w:themeColor="text1"/>
          <w:sz w:val="22"/>
          <w:lang w:val="de-DE"/>
        </w:rPr>
      </w:pPr>
      <w:r w:rsidRPr="00584BCB">
        <w:rPr>
          <w:rFonts w:ascii="Rubik" w:hAnsi="Rubik"/>
          <w:color w:val="000000" w:themeColor="text1"/>
          <w:sz w:val="22"/>
        </w:rPr>
        <w:t xml:space="preserve">35. </w:t>
      </w:r>
      <w:r w:rsidRPr="00584BCB">
        <w:rPr>
          <w:rFonts w:ascii="Rubik" w:hAnsi="Rubik"/>
          <w:color w:val="000000" w:themeColor="text1"/>
          <w:sz w:val="22"/>
        </w:rPr>
        <w:tab/>
        <w:t xml:space="preserve">Hoffmann H, Jäckel D, Glauser S, et al. Long-term effectiveness of supported employment: 5-year follow-up of a randomized controlled trial. </w:t>
      </w:r>
      <w:r w:rsidRPr="00584BCB">
        <w:rPr>
          <w:rFonts w:ascii="Rubik" w:hAnsi="Rubik"/>
          <w:color w:val="000000" w:themeColor="text1"/>
          <w:sz w:val="22"/>
          <w:lang w:val="de-DE"/>
        </w:rPr>
        <w:t>Am J Psychiatry 2014; 171: 1183–1190.</w:t>
      </w:r>
    </w:p>
    <w:p w14:paraId="7A3A5D6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de-DE"/>
        </w:rPr>
        <w:t xml:space="preserve">36. </w:t>
      </w:r>
      <w:r w:rsidRPr="00584BCB">
        <w:rPr>
          <w:rFonts w:ascii="Rubik" w:hAnsi="Rubik"/>
          <w:color w:val="000000" w:themeColor="text1"/>
          <w:sz w:val="22"/>
          <w:lang w:val="de-DE"/>
        </w:rPr>
        <w:tab/>
        <w:t xml:space="preserve">Hoffmann H, Jäckel D, Glauser S, et al. </w:t>
      </w:r>
      <w:r w:rsidRPr="00584BCB">
        <w:rPr>
          <w:rFonts w:ascii="Rubik" w:hAnsi="Rubik"/>
          <w:color w:val="000000" w:themeColor="text1"/>
          <w:sz w:val="22"/>
        </w:rPr>
        <w:t>A randomised controlled trial of the efficacy of supported employment. Acta Psychiatr Scand 2012; 125: 157–167.</w:t>
      </w:r>
    </w:p>
    <w:p w14:paraId="2C1D559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37. </w:t>
      </w:r>
      <w:r w:rsidRPr="00584BCB">
        <w:rPr>
          <w:rFonts w:ascii="Rubik" w:hAnsi="Rubik"/>
          <w:color w:val="000000" w:themeColor="text1"/>
          <w:sz w:val="22"/>
        </w:rPr>
        <w:tab/>
        <w:t>Schneider J, Akhtar A, Boycott N, et al. Individual placement and support versus individual placement and support enhanced with work-focused cognitive behaviour therapy: Feasibility study for a randomised controlled trial. Br J Occup Ther 2016; 79: 257–269.</w:t>
      </w:r>
    </w:p>
    <w:p w14:paraId="7C69455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38. </w:t>
      </w:r>
      <w:r w:rsidRPr="00584BCB">
        <w:rPr>
          <w:rFonts w:ascii="Rubik" w:hAnsi="Rubik"/>
          <w:color w:val="000000" w:themeColor="text1"/>
          <w:sz w:val="22"/>
        </w:rPr>
        <w:tab/>
        <w:t>Waghorn G, Dias S, Gladman B, et al. A multi-site randomised controlled trial of evidence-based supported employment for adults with severe and persistent mental illness. Aust Occup Ther J 2014; 61: 424–436.</w:t>
      </w:r>
    </w:p>
    <w:p w14:paraId="6D96F3D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39. </w:t>
      </w:r>
      <w:r w:rsidRPr="00584BCB">
        <w:rPr>
          <w:rFonts w:ascii="Rubik" w:hAnsi="Rubik"/>
          <w:color w:val="000000" w:themeColor="text1"/>
          <w:sz w:val="22"/>
        </w:rPr>
        <w:tab/>
        <w:t>Poremski D, Rabouin D, Latimer E. A Randomised Controlled Trial of Evidence Based Supported Employment for People Who have Recently been Homeless and have a Mental Illness. Adm Policy Ment Health 2017; 44: 217–224.</w:t>
      </w:r>
    </w:p>
    <w:p w14:paraId="5316B23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40. </w:t>
      </w:r>
      <w:r w:rsidRPr="00584BCB">
        <w:rPr>
          <w:rFonts w:ascii="Rubik" w:hAnsi="Rubik"/>
          <w:color w:val="000000" w:themeColor="text1"/>
          <w:sz w:val="22"/>
        </w:rPr>
        <w:tab/>
        <w:t>Drake RE, Bond GR, Becker DR. Individual Placement and Support: An Evidence-Based Approach to Supported Employment. Oxford University Press, https://oxford.universitypressscholarship.com/view/10.1093/acprof:oso/9780199734016.001.0001/acprof-9780199734016 (accessed 22 February 2021).</w:t>
      </w:r>
    </w:p>
    <w:p w14:paraId="28BFB9B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de-DE"/>
        </w:rPr>
        <w:t xml:space="preserve">41. </w:t>
      </w:r>
      <w:r w:rsidRPr="00584BCB">
        <w:rPr>
          <w:rFonts w:ascii="Rubik" w:hAnsi="Rubik"/>
          <w:color w:val="000000" w:themeColor="text1"/>
          <w:sz w:val="22"/>
          <w:lang w:val="de-DE"/>
        </w:rPr>
        <w:tab/>
        <w:t xml:space="preserve">McGurk SR, Mueser KT, Xie H, et al. </w:t>
      </w:r>
      <w:r w:rsidRPr="00584BCB">
        <w:rPr>
          <w:rFonts w:ascii="Rubik" w:hAnsi="Rubik"/>
          <w:color w:val="000000" w:themeColor="text1"/>
          <w:sz w:val="22"/>
        </w:rPr>
        <w:t>Cognitive Enhancement Treatment for People With Mental Illness Who Do Not Respond to Supported Employment: A Randomized Controlled Trial. Am J Psychiatry 2015; 172: 852–861.</w:t>
      </w:r>
    </w:p>
    <w:p w14:paraId="5E44F4ED" w14:textId="77777777" w:rsidR="00BD1825" w:rsidRPr="00584BCB" w:rsidRDefault="00BD1825" w:rsidP="00BD1825">
      <w:pPr>
        <w:rPr>
          <w:rFonts w:ascii="Rubik" w:hAnsi="Rubik"/>
          <w:color w:val="000000" w:themeColor="text1"/>
          <w:sz w:val="22"/>
          <w:lang w:val="fr-FR"/>
        </w:rPr>
      </w:pPr>
      <w:r w:rsidRPr="00584BCB">
        <w:rPr>
          <w:rFonts w:ascii="Rubik" w:hAnsi="Rubik"/>
          <w:color w:val="000000" w:themeColor="text1"/>
          <w:sz w:val="22"/>
        </w:rPr>
        <w:lastRenderedPageBreak/>
        <w:t xml:space="preserve">42. </w:t>
      </w:r>
      <w:r w:rsidRPr="00584BCB">
        <w:rPr>
          <w:rFonts w:ascii="Rubik" w:hAnsi="Rubik"/>
          <w:color w:val="000000" w:themeColor="text1"/>
          <w:sz w:val="22"/>
        </w:rPr>
        <w:tab/>
        <w:t xml:space="preserve">Yamaguchi S, Sato S, Horio N, et al. Cost-effectiveness of cognitive remediation and supported employment for people with mental illness: a randomized controlled trial. </w:t>
      </w:r>
      <w:r w:rsidRPr="00584BCB">
        <w:rPr>
          <w:rFonts w:ascii="Rubik" w:hAnsi="Rubik"/>
          <w:color w:val="000000" w:themeColor="text1"/>
          <w:sz w:val="22"/>
          <w:lang w:val="fr-FR"/>
        </w:rPr>
        <w:t>Psychol Med 2017; 47: 53–65.</w:t>
      </w:r>
    </w:p>
    <w:p w14:paraId="1675189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lang w:val="fr-FR"/>
        </w:rPr>
        <w:t xml:space="preserve">43. </w:t>
      </w:r>
      <w:r w:rsidRPr="00584BCB">
        <w:rPr>
          <w:rFonts w:ascii="Rubik" w:hAnsi="Rubik"/>
          <w:color w:val="000000" w:themeColor="text1"/>
          <w:sz w:val="22"/>
          <w:lang w:val="fr-FR"/>
        </w:rPr>
        <w:tab/>
        <w:t xml:space="preserve">Lecomte T, Corbière M, Giguère C-E, et al. </w:t>
      </w:r>
      <w:r w:rsidRPr="00584BCB">
        <w:rPr>
          <w:rFonts w:ascii="Rubik" w:hAnsi="Rubik"/>
          <w:color w:val="000000" w:themeColor="text1"/>
          <w:sz w:val="22"/>
        </w:rPr>
        <w:t>Group cognitive behaviour therapy for supported employment – Results of a randomized controlled cohort trial. Schizophr Res 2020; 215: 126–133.</w:t>
      </w:r>
    </w:p>
    <w:p w14:paraId="253C3EC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44. </w:t>
      </w:r>
      <w:r w:rsidRPr="00584BCB">
        <w:rPr>
          <w:rFonts w:ascii="Rubik" w:hAnsi="Rubik"/>
          <w:color w:val="000000" w:themeColor="text1"/>
          <w:sz w:val="22"/>
        </w:rPr>
        <w:tab/>
        <w:t>Howard LM, Heslin M, Leese M, et al. Supported employment: randomised controlled trial. Br J Psychiatry J Ment Sci 2010; 196: 404–411.</w:t>
      </w:r>
    </w:p>
    <w:p w14:paraId="13422D4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45. </w:t>
      </w:r>
      <w:r w:rsidRPr="00584BCB">
        <w:rPr>
          <w:rFonts w:ascii="Rubik" w:hAnsi="Rubik"/>
          <w:color w:val="000000" w:themeColor="text1"/>
          <w:sz w:val="22"/>
        </w:rPr>
        <w:tab/>
        <w:t>Rosenberg M. Society and the adolescent self-image. Princeton: Princeton University Press, 1965.</w:t>
      </w:r>
    </w:p>
    <w:p w14:paraId="6CD0628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46. </w:t>
      </w:r>
      <w:r w:rsidRPr="00584BCB">
        <w:rPr>
          <w:rFonts w:ascii="Rubik" w:hAnsi="Rubik"/>
          <w:color w:val="000000" w:themeColor="text1"/>
          <w:sz w:val="22"/>
        </w:rPr>
        <w:tab/>
        <w:t>Rogers ES, Chamberlin J, Ellison ML, et al. A consumer-constructed scale to measure empowerment among users of mental health services. Psychiatr Serv 1997; 48: 1042–1047.</w:t>
      </w:r>
    </w:p>
    <w:p w14:paraId="1160851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47. </w:t>
      </w:r>
      <w:r w:rsidRPr="00584BCB">
        <w:rPr>
          <w:rFonts w:ascii="Rubik" w:hAnsi="Rubik"/>
          <w:color w:val="000000" w:themeColor="text1"/>
          <w:sz w:val="22"/>
        </w:rPr>
        <w:tab/>
        <w:t>Rogers ES, Ralph RO, Salzer MS. Validating the empowerment scale with a multisite sample of consumers of mental health services. Psychiatr Serv 2010; 61: 933–936.</w:t>
      </w:r>
    </w:p>
    <w:p w14:paraId="3EDDEE0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48. </w:t>
      </w:r>
      <w:r w:rsidRPr="00584BCB">
        <w:rPr>
          <w:rFonts w:ascii="Rubik" w:hAnsi="Rubik"/>
          <w:color w:val="000000" w:themeColor="text1"/>
          <w:sz w:val="22"/>
        </w:rPr>
        <w:tab/>
        <w:t>Lefebvre C, Glanville J, Briscoe S, et al. Technical Supplement to Chapter 4: Searching for and selecting studies., www.training.cochrane.org/handbook.</w:t>
      </w:r>
    </w:p>
    <w:p w14:paraId="6300C73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49. </w:t>
      </w:r>
      <w:r w:rsidRPr="00584BCB">
        <w:rPr>
          <w:rFonts w:ascii="Rubik" w:hAnsi="Rubik"/>
          <w:color w:val="000000" w:themeColor="text1"/>
          <w:sz w:val="22"/>
        </w:rPr>
        <w:tab/>
        <w:t>Watson R, Richardson P. Identifying randomized controlled trials of cognitive therapy for depression: comparing the efficiency of Embase, Medline and PsycINFO bibliographic databases. Br J Med Psychol 1999; 72: 535–542.</w:t>
      </w:r>
    </w:p>
    <w:p w14:paraId="2FE6CEC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50. </w:t>
      </w:r>
      <w:r w:rsidRPr="00584BCB">
        <w:rPr>
          <w:rFonts w:ascii="Rubik" w:hAnsi="Rubik"/>
          <w:color w:val="000000" w:themeColor="text1"/>
          <w:sz w:val="22"/>
        </w:rPr>
        <w:tab/>
        <w:t>Glanville J, Dooley G, Wisniewski S, et al. Development of a search filter to identify reports of controlled clinical trials within CINAHL Plus. Health Inf Libr J 2019; 36: 73–90.</w:t>
      </w:r>
    </w:p>
    <w:p w14:paraId="14858982" w14:textId="77777777" w:rsidR="00306564" w:rsidRPr="00584BCB" w:rsidRDefault="00BD1825" w:rsidP="00BD1825">
      <w:pPr>
        <w:rPr>
          <w:rFonts w:ascii="Rubik" w:hAnsi="Rubik"/>
          <w:color w:val="000000" w:themeColor="text1"/>
          <w:sz w:val="22"/>
        </w:rPr>
      </w:pPr>
      <w:r w:rsidRPr="00584BCB">
        <w:rPr>
          <w:rFonts w:ascii="Rubik" w:hAnsi="Rubik"/>
          <w:color w:val="000000" w:themeColor="text1"/>
          <w:sz w:val="22"/>
        </w:rPr>
        <w:fldChar w:fldCharType="end"/>
      </w:r>
    </w:p>
    <w:p w14:paraId="2672E4FB" w14:textId="77777777" w:rsidR="00D63149" w:rsidRPr="00584BCB" w:rsidRDefault="00D63149" w:rsidP="00BD1825">
      <w:pPr>
        <w:rPr>
          <w:rFonts w:ascii="Rubik" w:hAnsi="Rubik"/>
          <w:color w:val="000000" w:themeColor="text1"/>
          <w:sz w:val="22"/>
        </w:rPr>
        <w:sectPr w:rsidR="00D63149" w:rsidRPr="00584BCB" w:rsidSect="009542A7">
          <w:type w:val="continuous"/>
          <w:pgSz w:w="12240" w:h="15840"/>
          <w:pgMar w:top="1440" w:right="1440" w:bottom="1440" w:left="1440" w:header="720" w:footer="720" w:gutter="0"/>
          <w:cols w:space="720"/>
          <w:docGrid w:linePitch="272"/>
        </w:sectPr>
      </w:pPr>
    </w:p>
    <w:p w14:paraId="6BA2D5CE" w14:textId="2D69C9E8" w:rsidR="00BD1825" w:rsidRPr="00584BCB" w:rsidRDefault="00BD1825" w:rsidP="72822302">
      <w:pPr>
        <w:pStyle w:val="Caption"/>
        <w:rPr>
          <w:rFonts w:ascii="Rubik" w:hAnsi="Rubik"/>
          <w:bCs/>
          <w:color w:val="000000" w:themeColor="text1"/>
          <w:sz w:val="22"/>
          <w:szCs w:val="22"/>
        </w:rPr>
      </w:pPr>
      <w:r w:rsidRPr="00584BCB">
        <w:rPr>
          <w:rFonts w:ascii="Rubik" w:hAnsi="Rubik"/>
          <w:bCs/>
          <w:color w:val="000000" w:themeColor="text1"/>
          <w:sz w:val="22"/>
          <w:szCs w:val="22"/>
        </w:rPr>
        <w:lastRenderedPageBreak/>
        <w:t>Table 1. Characteristics of included studies with people with psychosocial disability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Caption w:val="Table 1. "/>
        <w:tblDescription w:val="Table 1 descibed the characteristics of included studies of people with psychosocial disability."/>
      </w:tblPr>
      <w:tblGrid>
        <w:gridCol w:w="1923"/>
        <w:gridCol w:w="1923"/>
        <w:gridCol w:w="1924"/>
        <w:gridCol w:w="1924"/>
        <w:gridCol w:w="1924"/>
        <w:gridCol w:w="1924"/>
        <w:gridCol w:w="1924"/>
        <w:gridCol w:w="1924"/>
      </w:tblGrid>
      <w:tr w:rsidR="00584BCB" w:rsidRPr="00584BCB" w14:paraId="1DF4300E" w14:textId="77777777" w:rsidTr="00EE0B7F">
        <w:trPr>
          <w:cantSplit/>
          <w:trHeight w:val="680"/>
          <w:tblHeader/>
        </w:trPr>
        <w:tc>
          <w:tcPr>
            <w:tcW w:w="625" w:type="pct"/>
            <w:shd w:val="clear" w:color="auto" w:fill="7EA4A4"/>
            <w:noWrap/>
            <w:hideMark/>
          </w:tcPr>
          <w:p w14:paraId="60F12909" w14:textId="632DA271"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Study, Country</w:t>
            </w:r>
            <w:r w:rsidR="003F4A87" w:rsidRPr="00584BCB">
              <w:rPr>
                <w:rFonts w:ascii="Rubik" w:hAnsi="Rubik"/>
                <w:i/>
                <w:iCs/>
                <w:color w:val="000000" w:themeColor="text1"/>
                <w:szCs w:val="20"/>
              </w:rPr>
              <w:t>, Intervention</w:t>
            </w:r>
          </w:p>
        </w:tc>
        <w:tc>
          <w:tcPr>
            <w:tcW w:w="625" w:type="pct"/>
            <w:shd w:val="clear" w:color="auto" w:fill="7EA4A4"/>
            <w:noWrap/>
            <w:hideMark/>
          </w:tcPr>
          <w:p w14:paraId="1EC01903"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N total (Control/ Intervention)</w:t>
            </w:r>
          </w:p>
        </w:tc>
        <w:tc>
          <w:tcPr>
            <w:tcW w:w="625" w:type="pct"/>
            <w:shd w:val="clear" w:color="auto" w:fill="7EA4A4"/>
            <w:noWrap/>
            <w:hideMark/>
          </w:tcPr>
          <w:p w14:paraId="4A8C3A4B"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Male participants (%)</w:t>
            </w:r>
          </w:p>
        </w:tc>
        <w:tc>
          <w:tcPr>
            <w:tcW w:w="625" w:type="pct"/>
            <w:shd w:val="clear" w:color="auto" w:fill="7EA4A4"/>
          </w:tcPr>
          <w:p w14:paraId="00A51D8D"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 xml:space="preserve">Age range </w:t>
            </w:r>
          </w:p>
        </w:tc>
        <w:tc>
          <w:tcPr>
            <w:tcW w:w="625" w:type="pct"/>
            <w:shd w:val="clear" w:color="auto" w:fill="7EA4A4"/>
            <w:hideMark/>
          </w:tcPr>
          <w:p w14:paraId="596B5694"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 xml:space="preserve">Mean age (SD) total, control, intervention  </w:t>
            </w:r>
          </w:p>
        </w:tc>
        <w:tc>
          <w:tcPr>
            <w:tcW w:w="625" w:type="pct"/>
            <w:shd w:val="clear" w:color="auto" w:fill="7EA4A4"/>
            <w:noWrap/>
            <w:hideMark/>
          </w:tcPr>
          <w:p w14:paraId="05E559FD" w14:textId="4B677A16"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Description of psychosocial disability (%)</w:t>
            </w:r>
          </w:p>
        </w:tc>
        <w:tc>
          <w:tcPr>
            <w:tcW w:w="625" w:type="pct"/>
            <w:shd w:val="clear" w:color="auto" w:fill="7EA4A4"/>
            <w:noWrap/>
            <w:hideMark/>
          </w:tcPr>
          <w:p w14:paraId="4ABA0544"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Employment status at baseline</w:t>
            </w:r>
          </w:p>
        </w:tc>
        <w:tc>
          <w:tcPr>
            <w:tcW w:w="625" w:type="pct"/>
            <w:shd w:val="clear" w:color="auto" w:fill="7EA4A4"/>
          </w:tcPr>
          <w:p w14:paraId="5D68F10C" w14:textId="77777777" w:rsidR="00BD1825" w:rsidRPr="00584BCB" w:rsidRDefault="00BD1825" w:rsidP="000B671E">
            <w:pPr>
              <w:ind w:left="59"/>
              <w:rPr>
                <w:rFonts w:ascii="Rubik" w:hAnsi="Rubik"/>
                <w:i/>
                <w:iCs/>
                <w:color w:val="000000" w:themeColor="text1"/>
                <w:szCs w:val="20"/>
              </w:rPr>
            </w:pPr>
            <w:r w:rsidRPr="00584BCB">
              <w:rPr>
                <w:rFonts w:ascii="Rubik" w:hAnsi="Rubik"/>
                <w:i/>
                <w:iCs/>
                <w:color w:val="000000" w:themeColor="text1"/>
                <w:szCs w:val="20"/>
              </w:rPr>
              <w:t>Authors contacted for further information</w:t>
            </w:r>
          </w:p>
        </w:tc>
      </w:tr>
      <w:tr w:rsidR="00584BCB" w:rsidRPr="00584BCB" w14:paraId="32683EDD" w14:textId="77777777" w:rsidTr="00CB3780">
        <w:trPr>
          <w:trHeight w:val="852"/>
        </w:trPr>
        <w:tc>
          <w:tcPr>
            <w:tcW w:w="625" w:type="pct"/>
            <w:hideMark/>
          </w:tcPr>
          <w:p w14:paraId="163C8985" w14:textId="77777777" w:rsidR="00102378" w:rsidRPr="00584BCB" w:rsidRDefault="00BD1825" w:rsidP="00BD1825">
            <w:pPr>
              <w:rPr>
                <w:rFonts w:ascii="Rubik" w:hAnsi="Rubik"/>
                <w:color w:val="000000" w:themeColor="text1"/>
                <w:szCs w:val="20"/>
              </w:rPr>
            </w:pPr>
            <w:r w:rsidRPr="00584BCB">
              <w:rPr>
                <w:rFonts w:ascii="Rubik" w:hAnsi="Rubik"/>
                <w:color w:val="000000" w:themeColor="text1"/>
                <w:szCs w:val="20"/>
              </w:rPr>
              <w:t>Bejerholm 2015, Sweden</w:t>
            </w:r>
            <w:r w:rsidR="00102378" w:rsidRPr="00584BCB">
              <w:rPr>
                <w:rFonts w:ascii="Rubik" w:hAnsi="Rubik"/>
                <w:color w:val="000000" w:themeColor="text1"/>
                <w:szCs w:val="20"/>
              </w:rPr>
              <w:t xml:space="preserve">, </w:t>
            </w:r>
          </w:p>
          <w:p w14:paraId="3BE442A2" w14:textId="682CD629" w:rsidR="00BD1825" w:rsidRPr="00584BCB" w:rsidRDefault="00102378" w:rsidP="00BD1825">
            <w:pPr>
              <w:rPr>
                <w:rFonts w:ascii="Rubik" w:hAnsi="Rubik"/>
                <w:color w:val="000000" w:themeColor="text1"/>
                <w:szCs w:val="20"/>
              </w:rPr>
            </w:pPr>
            <w:r w:rsidRPr="00584BCB">
              <w:rPr>
                <w:rFonts w:ascii="Rubik" w:hAnsi="Rubik"/>
                <w:color w:val="000000" w:themeColor="text1"/>
                <w:szCs w:val="20"/>
              </w:rPr>
              <w:t>IPS vs. Traditional vocational rehabilitation</w:t>
            </w:r>
            <w:r w:rsidR="00BD1825" w:rsidRPr="00584BCB">
              <w:rPr>
                <w:rFonts w:ascii="Rubik" w:hAnsi="Rubik"/>
                <w:color w:val="000000" w:themeColor="text1"/>
                <w:szCs w:val="20"/>
              </w:rPr>
              <w:t xml:space="preserve"> </w:t>
            </w:r>
            <w:r w:rsidR="00971AA9" w:rsidRPr="00584BCB">
              <w:rPr>
                <w:rFonts w:ascii="Rubik" w:hAnsi="Rubik"/>
                <w:color w:val="000000" w:themeColor="text1"/>
                <w:szCs w:val="20"/>
              </w:rPr>
              <w:t>(TVR)</w:t>
            </w:r>
          </w:p>
        </w:tc>
        <w:tc>
          <w:tcPr>
            <w:tcW w:w="625" w:type="pct"/>
            <w:hideMark/>
          </w:tcPr>
          <w:p w14:paraId="3EDD078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120 (60/60)</w:t>
            </w:r>
          </w:p>
        </w:tc>
        <w:tc>
          <w:tcPr>
            <w:tcW w:w="625" w:type="pct"/>
            <w:hideMark/>
          </w:tcPr>
          <w:p w14:paraId="4075EB1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55.8</w:t>
            </w:r>
          </w:p>
        </w:tc>
        <w:tc>
          <w:tcPr>
            <w:tcW w:w="625" w:type="pct"/>
          </w:tcPr>
          <w:p w14:paraId="06C84AD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18-63</w:t>
            </w:r>
          </w:p>
        </w:tc>
        <w:tc>
          <w:tcPr>
            <w:tcW w:w="625" w:type="pct"/>
            <w:hideMark/>
          </w:tcPr>
          <w:p w14:paraId="4CEBD52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0E5CF1B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38 (8)</w:t>
            </w:r>
          </w:p>
          <w:p w14:paraId="1EB2BED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38 (8)</w:t>
            </w:r>
          </w:p>
          <w:p w14:paraId="4A4F4BF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(only provided whole digits)</w:t>
            </w:r>
          </w:p>
        </w:tc>
        <w:tc>
          <w:tcPr>
            <w:tcW w:w="625" w:type="pct"/>
            <w:hideMark/>
          </w:tcPr>
          <w:p w14:paraId="5F23109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64.2% Schizophrenia and other psychosis (ICD-10 F20-29), 7.5% Bipolar (ICD-10 F31), 27.5% Other diagnoses (ICD-10 F32 F40 F60)</w:t>
            </w:r>
          </w:p>
        </w:tc>
        <w:tc>
          <w:tcPr>
            <w:tcW w:w="625" w:type="pct"/>
            <w:hideMark/>
          </w:tcPr>
          <w:p w14:paraId="5F41197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Had not worked in the preceding year</w:t>
            </w:r>
          </w:p>
        </w:tc>
        <w:tc>
          <w:tcPr>
            <w:tcW w:w="625" w:type="pct"/>
          </w:tcPr>
          <w:p w14:paraId="5F7BFB65"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0CE829DE" w14:textId="77777777" w:rsidTr="00CB3780">
        <w:trPr>
          <w:trHeight w:val="758"/>
        </w:trPr>
        <w:tc>
          <w:tcPr>
            <w:tcW w:w="625" w:type="pct"/>
            <w:hideMark/>
          </w:tcPr>
          <w:p w14:paraId="644070B6" w14:textId="5F38F9D1"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Bond 2015, USA</w:t>
            </w:r>
            <w:r w:rsidR="00102378" w:rsidRPr="00584BCB">
              <w:rPr>
                <w:rFonts w:ascii="Rubik" w:hAnsi="Rubik"/>
                <w:color w:val="000000" w:themeColor="text1"/>
                <w:szCs w:val="20"/>
              </w:rPr>
              <w:t xml:space="preserve">, </w:t>
            </w:r>
            <w:r w:rsidR="00350C1D" w:rsidRPr="00584BCB">
              <w:rPr>
                <w:rFonts w:ascii="Rubik" w:hAnsi="Rubik"/>
                <w:color w:val="000000" w:themeColor="text1"/>
                <w:szCs w:val="20"/>
              </w:rPr>
              <w:t>IPS vs. Work Choice</w:t>
            </w:r>
          </w:p>
        </w:tc>
        <w:tc>
          <w:tcPr>
            <w:tcW w:w="625" w:type="pct"/>
            <w:hideMark/>
          </w:tcPr>
          <w:p w14:paraId="1730DA7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90 (45/45) n=3 dropped post-randomisation and sample reduced to 87 (1 control, 2 intervention)</w:t>
            </w:r>
          </w:p>
        </w:tc>
        <w:tc>
          <w:tcPr>
            <w:tcW w:w="625" w:type="pct"/>
            <w:hideMark/>
          </w:tcPr>
          <w:p w14:paraId="4839299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79.3</w:t>
            </w:r>
          </w:p>
        </w:tc>
        <w:tc>
          <w:tcPr>
            <w:tcW w:w="625" w:type="pct"/>
          </w:tcPr>
          <w:p w14:paraId="53FC9DE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 or older</w:t>
            </w:r>
          </w:p>
        </w:tc>
        <w:tc>
          <w:tcPr>
            <w:tcW w:w="625" w:type="pct"/>
            <w:hideMark/>
          </w:tcPr>
          <w:p w14:paraId="1D438FC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Total: NR </w:t>
            </w:r>
          </w:p>
          <w:p w14:paraId="43EF706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44.6 (11.6)</w:t>
            </w:r>
          </w:p>
          <w:p w14:paraId="53B6FDB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42.9 (11.5)</w:t>
            </w:r>
          </w:p>
        </w:tc>
        <w:tc>
          <w:tcPr>
            <w:tcW w:w="625" w:type="pct"/>
            <w:hideMark/>
          </w:tcPr>
          <w:p w14:paraId="2E307CC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53% schizophrenia, 18% depressive disorder, 25% bipolar disorder, 3% other (information not available)</w:t>
            </w:r>
          </w:p>
        </w:tc>
        <w:tc>
          <w:tcPr>
            <w:tcW w:w="625" w:type="pct"/>
            <w:hideMark/>
          </w:tcPr>
          <w:p w14:paraId="153068B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No competitive employment in past three months</w:t>
            </w:r>
          </w:p>
        </w:tc>
        <w:tc>
          <w:tcPr>
            <w:tcW w:w="625" w:type="pct"/>
          </w:tcPr>
          <w:p w14:paraId="7D2EF133"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03FD8AD4" w14:textId="77777777" w:rsidTr="00CB3780">
        <w:trPr>
          <w:trHeight w:val="1125"/>
        </w:trPr>
        <w:tc>
          <w:tcPr>
            <w:tcW w:w="625" w:type="pct"/>
            <w:hideMark/>
          </w:tcPr>
          <w:p w14:paraId="419AD256" w14:textId="5405DD86"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Craig 2014, UK</w:t>
            </w:r>
            <w:r w:rsidR="00B147C7" w:rsidRPr="00584BCB">
              <w:rPr>
                <w:rFonts w:ascii="Rubik" w:hAnsi="Rubik"/>
                <w:color w:val="000000" w:themeColor="text1"/>
                <w:szCs w:val="20"/>
              </w:rPr>
              <w:t>, IPS and motivational interviewing vs. IPS only</w:t>
            </w:r>
          </w:p>
        </w:tc>
        <w:tc>
          <w:tcPr>
            <w:tcW w:w="625" w:type="pct"/>
            <w:hideMark/>
          </w:tcPr>
          <w:p w14:paraId="6B83F8E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159 (78/81)</w:t>
            </w:r>
          </w:p>
        </w:tc>
        <w:tc>
          <w:tcPr>
            <w:tcW w:w="625" w:type="pct"/>
            <w:hideMark/>
          </w:tcPr>
          <w:p w14:paraId="40F13AB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73.0</w:t>
            </w:r>
          </w:p>
        </w:tc>
        <w:tc>
          <w:tcPr>
            <w:tcW w:w="625" w:type="pct"/>
          </w:tcPr>
          <w:p w14:paraId="0167701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18–35</w:t>
            </w:r>
          </w:p>
        </w:tc>
        <w:tc>
          <w:tcPr>
            <w:tcW w:w="625" w:type="pct"/>
            <w:hideMark/>
          </w:tcPr>
          <w:p w14:paraId="784470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749EF2F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Midlands 2: 24 (3.7); London 2: 24 (4.7)</w:t>
            </w:r>
          </w:p>
          <w:p w14:paraId="10DCE5F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Midlands 1: 23 (4.2); London 1: 25 (4.2)</w:t>
            </w:r>
          </w:p>
          <w:p w14:paraId="056E4F8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(only provided whole digits)</w:t>
            </w:r>
          </w:p>
        </w:tc>
        <w:tc>
          <w:tcPr>
            <w:tcW w:w="625" w:type="pct"/>
            <w:hideMark/>
          </w:tcPr>
          <w:p w14:paraId="73ECD27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100% early psychosis</w:t>
            </w:r>
          </w:p>
        </w:tc>
        <w:tc>
          <w:tcPr>
            <w:tcW w:w="625" w:type="pct"/>
            <w:hideMark/>
          </w:tcPr>
          <w:p w14:paraId="5F54025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625" w:type="pct"/>
          </w:tcPr>
          <w:p w14:paraId="34E9AF79"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405298CD" w14:textId="77777777" w:rsidTr="00CB3780">
        <w:trPr>
          <w:trHeight w:val="589"/>
        </w:trPr>
        <w:tc>
          <w:tcPr>
            <w:tcW w:w="625" w:type="pct"/>
            <w:hideMark/>
          </w:tcPr>
          <w:p w14:paraId="30C3A0A3" w14:textId="747E55F5" w:rsidR="00D4174E" w:rsidRPr="00584BCB" w:rsidRDefault="00D4174E" w:rsidP="00D4174E">
            <w:pPr>
              <w:rPr>
                <w:rFonts w:ascii="Rubik" w:hAnsi="Rubik"/>
                <w:color w:val="000000" w:themeColor="text1"/>
                <w:szCs w:val="20"/>
                <w:lang w:val="sv-SE"/>
              </w:rPr>
            </w:pPr>
            <w:r w:rsidRPr="00584BCB">
              <w:rPr>
                <w:rFonts w:ascii="Rubik" w:hAnsi="Rubik"/>
                <w:color w:val="000000" w:themeColor="text1"/>
                <w:szCs w:val="20"/>
                <w:lang w:val="sv-SE"/>
              </w:rPr>
              <w:t>Davis 2012, USA</w:t>
            </w:r>
            <w:r w:rsidR="002261E6" w:rsidRPr="00584BCB">
              <w:rPr>
                <w:rFonts w:ascii="Rubik" w:hAnsi="Rubik"/>
                <w:color w:val="000000" w:themeColor="text1"/>
                <w:szCs w:val="20"/>
                <w:lang w:val="sv-SE"/>
              </w:rPr>
              <w:t xml:space="preserve">, IPS vs. </w:t>
            </w:r>
            <w:r w:rsidR="00971AA9" w:rsidRPr="00584BCB">
              <w:rPr>
                <w:rFonts w:ascii="Rubik" w:hAnsi="Rubik"/>
                <w:color w:val="000000" w:themeColor="text1"/>
                <w:szCs w:val="20"/>
                <w:lang w:val="sv-SE"/>
              </w:rPr>
              <w:t>veterans TVR</w:t>
            </w:r>
            <w:r w:rsidRPr="00584BCB">
              <w:rPr>
                <w:rFonts w:ascii="Rubik" w:hAnsi="Rubik"/>
                <w:color w:val="000000" w:themeColor="text1"/>
                <w:szCs w:val="20"/>
                <w:lang w:val="sv-SE"/>
              </w:rPr>
              <w:t xml:space="preserve"> </w:t>
            </w:r>
          </w:p>
        </w:tc>
        <w:tc>
          <w:tcPr>
            <w:tcW w:w="625" w:type="pct"/>
            <w:hideMark/>
          </w:tcPr>
          <w:p w14:paraId="5BF65AD7" w14:textId="416861B2"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85 (43/42)</w:t>
            </w:r>
          </w:p>
        </w:tc>
        <w:tc>
          <w:tcPr>
            <w:tcW w:w="625" w:type="pct"/>
            <w:hideMark/>
          </w:tcPr>
          <w:p w14:paraId="1507CAD7" w14:textId="1FB4A041"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88.2</w:t>
            </w:r>
          </w:p>
        </w:tc>
        <w:tc>
          <w:tcPr>
            <w:tcW w:w="625" w:type="pct"/>
          </w:tcPr>
          <w:p w14:paraId="66FD60B0" w14:textId="675640DC"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19 to 60</w:t>
            </w:r>
          </w:p>
        </w:tc>
        <w:tc>
          <w:tcPr>
            <w:tcW w:w="625" w:type="pct"/>
            <w:hideMark/>
          </w:tcPr>
          <w:p w14:paraId="5B091244" w14:textId="77777777"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Total: NR</w:t>
            </w:r>
          </w:p>
          <w:p w14:paraId="060E96A5" w14:textId="77777777"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C: 40.5 (12.5)</w:t>
            </w:r>
          </w:p>
          <w:p w14:paraId="748F0B36" w14:textId="78B5E68B"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I: 39.9 (11.9)</w:t>
            </w:r>
          </w:p>
        </w:tc>
        <w:tc>
          <w:tcPr>
            <w:tcW w:w="625" w:type="pct"/>
            <w:hideMark/>
          </w:tcPr>
          <w:p w14:paraId="2EAE1F70" w14:textId="77777777"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t xml:space="preserve">100% post-traumatic stress disorder; 89% major depressive disorder, 20% dysthymia, 54% agoraphobia, 59% panic disorder, 28% </w:t>
            </w:r>
            <w:r w:rsidRPr="00584BCB">
              <w:rPr>
                <w:rFonts w:ascii="Rubik" w:hAnsi="Rubik"/>
                <w:color w:val="000000" w:themeColor="text1"/>
                <w:szCs w:val="20"/>
              </w:rPr>
              <w:lastRenderedPageBreak/>
              <w:t>social phobia, 42% alcohol dependence, 21% alcohol abuse, 37% drug dependence, and 18% drug abuse</w:t>
            </w:r>
          </w:p>
        </w:tc>
        <w:tc>
          <w:tcPr>
            <w:tcW w:w="625" w:type="pct"/>
            <w:hideMark/>
          </w:tcPr>
          <w:p w14:paraId="68F8D93C" w14:textId="77777777" w:rsidR="00D4174E" w:rsidRPr="00584BCB" w:rsidRDefault="00D4174E" w:rsidP="00D4174E">
            <w:pPr>
              <w:rPr>
                <w:rFonts w:ascii="Rubik" w:hAnsi="Rubik"/>
                <w:color w:val="000000" w:themeColor="text1"/>
                <w:szCs w:val="20"/>
              </w:rPr>
            </w:pPr>
            <w:r w:rsidRPr="00584BCB">
              <w:rPr>
                <w:rFonts w:ascii="Rubik" w:hAnsi="Rubik"/>
                <w:color w:val="000000" w:themeColor="text1"/>
                <w:szCs w:val="20"/>
              </w:rPr>
              <w:lastRenderedPageBreak/>
              <w:t>Unemployed</w:t>
            </w:r>
          </w:p>
        </w:tc>
        <w:tc>
          <w:tcPr>
            <w:tcW w:w="625" w:type="pct"/>
          </w:tcPr>
          <w:p w14:paraId="2DB2D2ED" w14:textId="77777777" w:rsidR="00D4174E" w:rsidRPr="00584BCB" w:rsidRDefault="00D4174E"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6808DF6E" w14:textId="77777777" w:rsidTr="00CB3780">
        <w:trPr>
          <w:trHeight w:val="543"/>
        </w:trPr>
        <w:tc>
          <w:tcPr>
            <w:tcW w:w="625" w:type="pct"/>
            <w:hideMark/>
          </w:tcPr>
          <w:p w14:paraId="3BBCCDFC" w14:textId="478953E8"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Davis 2018, USA</w:t>
            </w:r>
            <w:r w:rsidR="002261E6" w:rsidRPr="00584BCB">
              <w:rPr>
                <w:rFonts w:ascii="Rubik" w:hAnsi="Rubik"/>
                <w:color w:val="000000" w:themeColor="text1"/>
                <w:szCs w:val="20"/>
              </w:rPr>
              <w:t xml:space="preserve">, </w:t>
            </w:r>
            <w:r w:rsidR="00321C4E" w:rsidRPr="00584BCB">
              <w:rPr>
                <w:rFonts w:ascii="Rubik" w:hAnsi="Rubik"/>
                <w:color w:val="000000" w:themeColor="text1"/>
                <w:szCs w:val="20"/>
              </w:rPr>
              <w:t>Vocational Coaches</w:t>
            </w:r>
            <w:r w:rsidR="0003283A" w:rsidRPr="00584BCB">
              <w:rPr>
                <w:rFonts w:ascii="Rubik" w:hAnsi="Rubik"/>
                <w:color w:val="000000" w:themeColor="text1"/>
                <w:szCs w:val="20"/>
              </w:rPr>
              <w:t xml:space="preserve"> vs Standard Coaches </w:t>
            </w:r>
          </w:p>
        </w:tc>
        <w:tc>
          <w:tcPr>
            <w:tcW w:w="625" w:type="pct"/>
            <w:hideMark/>
          </w:tcPr>
          <w:p w14:paraId="55370A6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32 (16/16)</w:t>
            </w:r>
          </w:p>
        </w:tc>
        <w:tc>
          <w:tcPr>
            <w:tcW w:w="625" w:type="pct"/>
            <w:hideMark/>
          </w:tcPr>
          <w:p w14:paraId="3B96BA5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78.1</w:t>
            </w:r>
          </w:p>
        </w:tc>
        <w:tc>
          <w:tcPr>
            <w:tcW w:w="625" w:type="pct"/>
          </w:tcPr>
          <w:p w14:paraId="2077091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17–20</w:t>
            </w:r>
          </w:p>
        </w:tc>
        <w:tc>
          <w:tcPr>
            <w:tcW w:w="625" w:type="pct"/>
            <w:hideMark/>
          </w:tcPr>
          <w:p w14:paraId="11A4E31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17.8 (NR)</w:t>
            </w:r>
          </w:p>
          <w:p w14:paraId="7DA8CF7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17.9 (NR)</w:t>
            </w:r>
          </w:p>
          <w:p w14:paraId="502C91A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17.6 (NR)</w:t>
            </w:r>
          </w:p>
        </w:tc>
        <w:tc>
          <w:tcPr>
            <w:tcW w:w="625" w:type="pct"/>
            <w:hideMark/>
          </w:tcPr>
          <w:p w14:paraId="58DB8F5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50% major depressive disorder, 25% anxiety disorder, 16% bipolar disorder, 9% state MH Authority Services</w:t>
            </w:r>
          </w:p>
        </w:tc>
        <w:tc>
          <w:tcPr>
            <w:tcW w:w="625" w:type="pct"/>
            <w:hideMark/>
          </w:tcPr>
          <w:p w14:paraId="7A173C9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Employed or unemployed</w:t>
            </w:r>
          </w:p>
        </w:tc>
        <w:tc>
          <w:tcPr>
            <w:tcW w:w="625" w:type="pct"/>
          </w:tcPr>
          <w:p w14:paraId="687B94D0"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20F9EB5A" w14:textId="77777777" w:rsidTr="00CB3780">
        <w:trPr>
          <w:trHeight w:val="782"/>
        </w:trPr>
        <w:tc>
          <w:tcPr>
            <w:tcW w:w="625" w:type="pct"/>
            <w:hideMark/>
          </w:tcPr>
          <w:p w14:paraId="3770601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Erickson 2020, </w:t>
            </w:r>
          </w:p>
          <w:p w14:paraId="40C98ACE" w14:textId="77777777" w:rsidR="00D40A91" w:rsidRPr="00584BCB" w:rsidRDefault="00BD1825" w:rsidP="00BD1825">
            <w:pPr>
              <w:rPr>
                <w:rFonts w:ascii="Rubik" w:hAnsi="Rubik"/>
                <w:color w:val="000000" w:themeColor="text1"/>
                <w:szCs w:val="20"/>
              </w:rPr>
            </w:pPr>
            <w:r w:rsidRPr="00584BCB">
              <w:rPr>
                <w:rFonts w:ascii="Rubik" w:hAnsi="Rubik"/>
                <w:color w:val="000000" w:themeColor="text1"/>
                <w:szCs w:val="20"/>
              </w:rPr>
              <w:t>Canada</w:t>
            </w:r>
            <w:r w:rsidR="00D40A91" w:rsidRPr="00584BCB">
              <w:rPr>
                <w:rFonts w:ascii="Rubik" w:hAnsi="Rubik"/>
                <w:color w:val="000000" w:themeColor="text1"/>
                <w:szCs w:val="20"/>
              </w:rPr>
              <w:t xml:space="preserve">, </w:t>
            </w:r>
          </w:p>
          <w:p w14:paraId="6D225599" w14:textId="4E8AE03E" w:rsidR="00BD1825" w:rsidRPr="00584BCB" w:rsidRDefault="00D40A91" w:rsidP="00BD1825">
            <w:pPr>
              <w:rPr>
                <w:rFonts w:ascii="Rubik" w:hAnsi="Rubik"/>
                <w:color w:val="000000" w:themeColor="text1"/>
                <w:szCs w:val="20"/>
              </w:rPr>
            </w:pPr>
            <w:r w:rsidRPr="00584BCB">
              <w:rPr>
                <w:rFonts w:ascii="Rubik" w:hAnsi="Rubik"/>
                <w:color w:val="000000" w:themeColor="text1"/>
                <w:szCs w:val="20"/>
              </w:rPr>
              <w:t>IPS vs treatment as usual</w:t>
            </w:r>
          </w:p>
        </w:tc>
        <w:tc>
          <w:tcPr>
            <w:tcW w:w="625" w:type="pct"/>
            <w:hideMark/>
          </w:tcPr>
          <w:p w14:paraId="593ABE3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109 (53/56)</w:t>
            </w:r>
          </w:p>
        </w:tc>
        <w:tc>
          <w:tcPr>
            <w:tcW w:w="625" w:type="pct"/>
            <w:hideMark/>
          </w:tcPr>
          <w:p w14:paraId="3DA0836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82.6</w:t>
            </w:r>
          </w:p>
        </w:tc>
        <w:tc>
          <w:tcPr>
            <w:tcW w:w="625" w:type="pct"/>
          </w:tcPr>
          <w:p w14:paraId="51DEA39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18-30</w:t>
            </w:r>
          </w:p>
        </w:tc>
        <w:tc>
          <w:tcPr>
            <w:tcW w:w="625" w:type="pct"/>
            <w:hideMark/>
          </w:tcPr>
          <w:p w14:paraId="6536E47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05E8B3A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22.7 (3.3)</w:t>
            </w:r>
          </w:p>
          <w:p w14:paraId="4B40ED8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23.4 (3.5)</w:t>
            </w:r>
          </w:p>
        </w:tc>
        <w:tc>
          <w:tcPr>
            <w:tcW w:w="625" w:type="pct"/>
            <w:hideMark/>
          </w:tcPr>
          <w:p w14:paraId="14E42D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4.6% schizophreniform, 37.6% schizophrenia, 8.3% schizo-affective disorder, 18.4% bipolar, 9.2% major depression, 15.6% Psychosis NOS, 4.6% substance-induced psychosis, 0.9% delusional disorder, 0.9% Aspergers</w:t>
            </w:r>
          </w:p>
        </w:tc>
        <w:tc>
          <w:tcPr>
            <w:tcW w:w="625" w:type="pct"/>
            <w:hideMark/>
          </w:tcPr>
          <w:p w14:paraId="10B4633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 or employed and seeking better jobs</w:t>
            </w:r>
          </w:p>
        </w:tc>
        <w:tc>
          <w:tcPr>
            <w:tcW w:w="625" w:type="pct"/>
          </w:tcPr>
          <w:p w14:paraId="734E615C"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291D41DE" w14:textId="77777777" w:rsidTr="00CB3780">
        <w:trPr>
          <w:trHeight w:val="628"/>
        </w:trPr>
        <w:tc>
          <w:tcPr>
            <w:tcW w:w="625" w:type="pct"/>
            <w:hideMark/>
          </w:tcPr>
          <w:p w14:paraId="76628F76" w14:textId="77777777" w:rsidR="0003283A" w:rsidRPr="00584BCB" w:rsidRDefault="00BD1825" w:rsidP="0003283A">
            <w:pPr>
              <w:rPr>
                <w:rFonts w:ascii="Rubik" w:hAnsi="Rubik"/>
                <w:color w:val="000000" w:themeColor="text1"/>
                <w:szCs w:val="20"/>
                <w:lang w:val="de-DE"/>
              </w:rPr>
            </w:pPr>
            <w:r w:rsidRPr="00584BCB">
              <w:rPr>
                <w:rFonts w:ascii="Rubik" w:hAnsi="Rubik"/>
                <w:color w:val="000000" w:themeColor="text1"/>
                <w:szCs w:val="20"/>
                <w:lang w:val="de-DE"/>
              </w:rPr>
              <w:lastRenderedPageBreak/>
              <w:t>Hoffmann 2012, Switzerland</w:t>
            </w:r>
            <w:r w:rsidR="0003283A" w:rsidRPr="00584BCB">
              <w:rPr>
                <w:rFonts w:ascii="Rubik" w:hAnsi="Rubik"/>
                <w:color w:val="000000" w:themeColor="text1"/>
                <w:szCs w:val="20"/>
                <w:lang w:val="de-DE"/>
              </w:rPr>
              <w:t xml:space="preserve">, </w:t>
            </w:r>
          </w:p>
          <w:p w14:paraId="049C13C9" w14:textId="7DF68BEA" w:rsidR="0003283A" w:rsidRPr="00584BCB" w:rsidRDefault="0003283A" w:rsidP="0003283A">
            <w:pPr>
              <w:rPr>
                <w:rFonts w:ascii="Rubik" w:hAnsi="Rubik"/>
                <w:color w:val="000000" w:themeColor="text1"/>
                <w:szCs w:val="20"/>
                <w:lang w:val="de-DE"/>
              </w:rPr>
            </w:pPr>
            <w:r w:rsidRPr="00584BCB">
              <w:rPr>
                <w:rFonts w:ascii="Rubik" w:hAnsi="Rubik"/>
                <w:color w:val="000000" w:themeColor="text1"/>
                <w:szCs w:val="20"/>
                <w:lang w:val="de-DE"/>
              </w:rPr>
              <w:t xml:space="preserve">Job Coach vs TVR </w:t>
            </w:r>
          </w:p>
          <w:p w14:paraId="2EC6A8F3" w14:textId="72AFCA34" w:rsidR="00BD1825" w:rsidRPr="00584BCB" w:rsidRDefault="00BD1825" w:rsidP="00BD1825">
            <w:pPr>
              <w:rPr>
                <w:rFonts w:ascii="Rubik" w:hAnsi="Rubik"/>
                <w:color w:val="000000" w:themeColor="text1"/>
                <w:szCs w:val="20"/>
                <w:lang w:val="de-DE"/>
              </w:rPr>
            </w:pPr>
          </w:p>
        </w:tc>
        <w:tc>
          <w:tcPr>
            <w:tcW w:w="625" w:type="pct"/>
            <w:hideMark/>
          </w:tcPr>
          <w:p w14:paraId="164C302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100 (54/46)</w:t>
            </w:r>
          </w:p>
        </w:tc>
        <w:tc>
          <w:tcPr>
            <w:tcW w:w="625" w:type="pct"/>
            <w:hideMark/>
          </w:tcPr>
          <w:p w14:paraId="03E0BCD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65.0</w:t>
            </w:r>
          </w:p>
        </w:tc>
        <w:tc>
          <w:tcPr>
            <w:tcW w:w="625" w:type="pct"/>
          </w:tcPr>
          <w:p w14:paraId="5FB82D3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18-64</w:t>
            </w:r>
          </w:p>
        </w:tc>
        <w:tc>
          <w:tcPr>
            <w:tcW w:w="625" w:type="pct"/>
            <w:hideMark/>
          </w:tcPr>
          <w:p w14:paraId="37AB4C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41A4B8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34.1 (9.2)</w:t>
            </w:r>
          </w:p>
          <w:p w14:paraId="6748F8A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33.5 (9.8)</w:t>
            </w:r>
          </w:p>
        </w:tc>
        <w:tc>
          <w:tcPr>
            <w:tcW w:w="625" w:type="pct"/>
            <w:hideMark/>
          </w:tcPr>
          <w:p w14:paraId="7578DD8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38% schizophrenia spectrum, 41% affective disorder, 21% other, 12% concomitant substance abuse</w:t>
            </w:r>
          </w:p>
        </w:tc>
        <w:tc>
          <w:tcPr>
            <w:tcW w:w="625" w:type="pct"/>
            <w:hideMark/>
          </w:tcPr>
          <w:p w14:paraId="38D8B98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Out of competitive employment</w:t>
            </w:r>
          </w:p>
        </w:tc>
        <w:tc>
          <w:tcPr>
            <w:tcW w:w="625" w:type="pct"/>
          </w:tcPr>
          <w:p w14:paraId="6D5320C6"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 xml:space="preserve">Attempted to contact, email address invalid </w:t>
            </w:r>
          </w:p>
        </w:tc>
      </w:tr>
      <w:tr w:rsidR="00584BCB" w:rsidRPr="00584BCB" w14:paraId="601327CF" w14:textId="77777777" w:rsidTr="00CB3780">
        <w:trPr>
          <w:trHeight w:val="642"/>
        </w:trPr>
        <w:tc>
          <w:tcPr>
            <w:tcW w:w="625" w:type="pct"/>
            <w:hideMark/>
          </w:tcPr>
          <w:p w14:paraId="2B572052" w14:textId="77777777" w:rsidR="00971AA9" w:rsidRPr="00584BCB" w:rsidRDefault="00BD1825" w:rsidP="00BD1825">
            <w:pPr>
              <w:rPr>
                <w:rFonts w:ascii="Rubik" w:hAnsi="Rubik"/>
                <w:color w:val="000000" w:themeColor="text1"/>
                <w:szCs w:val="20"/>
              </w:rPr>
            </w:pPr>
            <w:r w:rsidRPr="00584BCB">
              <w:rPr>
                <w:rFonts w:ascii="Rubik" w:hAnsi="Rubik"/>
                <w:color w:val="000000" w:themeColor="text1"/>
                <w:szCs w:val="20"/>
              </w:rPr>
              <w:t>Howard 2010, UK</w:t>
            </w:r>
            <w:r w:rsidR="00971AA9" w:rsidRPr="00584BCB">
              <w:rPr>
                <w:rFonts w:ascii="Rubik" w:hAnsi="Rubik"/>
                <w:color w:val="000000" w:themeColor="text1"/>
                <w:szCs w:val="20"/>
              </w:rPr>
              <w:t>,</w:t>
            </w:r>
          </w:p>
          <w:p w14:paraId="6274B7E4" w14:textId="377F6BCC" w:rsidR="00971AA9" w:rsidRPr="00584BCB" w:rsidRDefault="00971AA9" w:rsidP="00BD1825">
            <w:pPr>
              <w:rPr>
                <w:rFonts w:ascii="Rubik" w:hAnsi="Rubik"/>
                <w:color w:val="000000" w:themeColor="text1"/>
                <w:szCs w:val="20"/>
              </w:rPr>
            </w:pPr>
            <w:r w:rsidRPr="00584BCB">
              <w:rPr>
                <w:rFonts w:ascii="Rubik" w:hAnsi="Rubik"/>
                <w:color w:val="000000" w:themeColor="text1"/>
                <w:szCs w:val="20"/>
              </w:rPr>
              <w:t>IPS vs TVR</w:t>
            </w:r>
          </w:p>
        </w:tc>
        <w:tc>
          <w:tcPr>
            <w:tcW w:w="625" w:type="pct"/>
            <w:hideMark/>
          </w:tcPr>
          <w:p w14:paraId="32BF824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219 (110/109)</w:t>
            </w:r>
          </w:p>
        </w:tc>
        <w:tc>
          <w:tcPr>
            <w:tcW w:w="625" w:type="pct"/>
            <w:hideMark/>
          </w:tcPr>
          <w:p w14:paraId="77F6304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67.1</w:t>
            </w:r>
          </w:p>
        </w:tc>
        <w:tc>
          <w:tcPr>
            <w:tcW w:w="625" w:type="pct"/>
          </w:tcPr>
          <w:p w14:paraId="3AA6834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18-65</w:t>
            </w:r>
          </w:p>
        </w:tc>
        <w:tc>
          <w:tcPr>
            <w:tcW w:w="625" w:type="pct"/>
            <w:hideMark/>
          </w:tcPr>
          <w:p w14:paraId="2108490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55E6C83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38.3 (9.3)</w:t>
            </w:r>
          </w:p>
          <w:p w14:paraId="119BE00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38.4 (9.5)</w:t>
            </w:r>
          </w:p>
        </w:tc>
        <w:tc>
          <w:tcPr>
            <w:tcW w:w="625" w:type="pct"/>
            <w:shd w:val="clear" w:color="auto" w:fill="auto"/>
            <w:hideMark/>
          </w:tcPr>
          <w:p w14:paraId="23EEB55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72.5% psychotic disorder; 27.5% mood disorder</w:t>
            </w:r>
          </w:p>
        </w:tc>
        <w:tc>
          <w:tcPr>
            <w:tcW w:w="625" w:type="pct"/>
            <w:hideMark/>
          </w:tcPr>
          <w:p w14:paraId="17B00FB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 for at least 3 months</w:t>
            </w:r>
          </w:p>
        </w:tc>
        <w:tc>
          <w:tcPr>
            <w:tcW w:w="625" w:type="pct"/>
          </w:tcPr>
          <w:p w14:paraId="5858C1E4"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28FD4125" w14:textId="77777777" w:rsidTr="00CB3780">
        <w:trPr>
          <w:trHeight w:val="1008"/>
        </w:trPr>
        <w:tc>
          <w:tcPr>
            <w:tcW w:w="625" w:type="pct"/>
            <w:hideMark/>
          </w:tcPr>
          <w:p w14:paraId="26347382" w14:textId="056B21F7" w:rsidR="008619B0"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Killackey 2019, </w:t>
            </w:r>
            <w:r w:rsidR="008619B0" w:rsidRPr="00584BCB">
              <w:rPr>
                <w:rFonts w:ascii="Rubik" w:hAnsi="Rubik"/>
                <w:color w:val="000000" w:themeColor="text1"/>
                <w:szCs w:val="20"/>
              </w:rPr>
              <w:t>Australia,</w:t>
            </w:r>
          </w:p>
          <w:p w14:paraId="59EB2430" w14:textId="34CC4410"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 </w:t>
            </w:r>
            <w:r w:rsidR="008619B0" w:rsidRPr="00584BCB">
              <w:rPr>
                <w:rFonts w:ascii="Rubik" w:hAnsi="Rubik"/>
                <w:color w:val="000000" w:themeColor="text1"/>
                <w:szCs w:val="20"/>
              </w:rPr>
              <w:t xml:space="preserve">IPS vs </w:t>
            </w:r>
            <w:r w:rsidR="008E26D2" w:rsidRPr="00584BCB">
              <w:rPr>
                <w:rFonts w:ascii="Rubik" w:hAnsi="Rubik"/>
                <w:color w:val="000000" w:themeColor="text1"/>
                <w:szCs w:val="20"/>
              </w:rPr>
              <w:t>treatment as usual</w:t>
            </w:r>
          </w:p>
        </w:tc>
        <w:tc>
          <w:tcPr>
            <w:tcW w:w="625" w:type="pct"/>
            <w:hideMark/>
          </w:tcPr>
          <w:p w14:paraId="2CD8262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146 (73/73)</w:t>
            </w:r>
          </w:p>
        </w:tc>
        <w:tc>
          <w:tcPr>
            <w:tcW w:w="625" w:type="pct"/>
            <w:hideMark/>
          </w:tcPr>
          <w:p w14:paraId="7B3D2C9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69.2</w:t>
            </w:r>
          </w:p>
        </w:tc>
        <w:tc>
          <w:tcPr>
            <w:tcW w:w="625" w:type="pct"/>
          </w:tcPr>
          <w:p w14:paraId="74E3948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15–25</w:t>
            </w:r>
          </w:p>
        </w:tc>
        <w:tc>
          <w:tcPr>
            <w:tcW w:w="625" w:type="pct"/>
            <w:hideMark/>
          </w:tcPr>
          <w:p w14:paraId="59C722B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20.4 (2.4)</w:t>
            </w:r>
          </w:p>
          <w:p w14:paraId="478BAE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20.5 (2.1)</w:t>
            </w:r>
          </w:p>
          <w:p w14:paraId="54B462E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20.4 (2.7)</w:t>
            </w:r>
          </w:p>
        </w:tc>
        <w:tc>
          <w:tcPr>
            <w:tcW w:w="625" w:type="pct"/>
            <w:hideMark/>
          </w:tcPr>
          <w:p w14:paraId="27428E7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100% psychotic disorder including 43.8% schizophreniform/schizophrenia, 13.0% schizoaffective disorder, 11.6% major depressive disorder with psychotic features, 13.7% bipolar disorder, 11.6% psychosis not otherwise specified, 6.2% other. </w:t>
            </w:r>
          </w:p>
        </w:tc>
        <w:tc>
          <w:tcPr>
            <w:tcW w:w="625" w:type="pct"/>
            <w:hideMark/>
          </w:tcPr>
          <w:p w14:paraId="3F60F3B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 or employed</w:t>
            </w:r>
          </w:p>
        </w:tc>
        <w:tc>
          <w:tcPr>
            <w:tcW w:w="625" w:type="pct"/>
          </w:tcPr>
          <w:p w14:paraId="057307C2"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1A6E5432" w14:textId="77777777" w:rsidTr="00CB3780">
        <w:trPr>
          <w:trHeight w:val="840"/>
        </w:trPr>
        <w:tc>
          <w:tcPr>
            <w:tcW w:w="625" w:type="pct"/>
          </w:tcPr>
          <w:p w14:paraId="2BB44245" w14:textId="31D5BCE2"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Lecomte 2020</w:t>
            </w:r>
            <w:r w:rsidR="001608CB" w:rsidRPr="00584BCB">
              <w:rPr>
                <w:rFonts w:ascii="Rubik" w:hAnsi="Rubik"/>
                <w:color w:val="000000" w:themeColor="text1"/>
                <w:szCs w:val="20"/>
              </w:rPr>
              <w:t xml:space="preserve">, </w:t>
            </w:r>
            <w:r w:rsidR="00FE2F1B" w:rsidRPr="00584BCB">
              <w:rPr>
                <w:rFonts w:ascii="Rubik" w:hAnsi="Rubik"/>
                <w:color w:val="000000" w:themeColor="text1"/>
                <w:szCs w:val="20"/>
              </w:rPr>
              <w:t xml:space="preserve">Canada, </w:t>
            </w:r>
          </w:p>
          <w:p w14:paraId="16B8ED9A" w14:textId="03486185" w:rsidR="00FE2F1B" w:rsidRPr="00584BCB" w:rsidRDefault="008E26D2" w:rsidP="00BD1825">
            <w:pPr>
              <w:rPr>
                <w:rFonts w:ascii="Rubik" w:hAnsi="Rubik"/>
                <w:color w:val="000000" w:themeColor="text1"/>
                <w:szCs w:val="20"/>
              </w:rPr>
            </w:pPr>
            <w:r w:rsidRPr="00584BCB">
              <w:rPr>
                <w:rFonts w:ascii="Rubik" w:hAnsi="Rubik"/>
                <w:color w:val="000000" w:themeColor="text1"/>
                <w:szCs w:val="20"/>
              </w:rPr>
              <w:t>Vocati</w:t>
            </w:r>
            <w:r w:rsidR="00E224E9" w:rsidRPr="00584BCB">
              <w:rPr>
                <w:rFonts w:ascii="Rubik" w:hAnsi="Rubik"/>
                <w:color w:val="000000" w:themeColor="text1"/>
                <w:szCs w:val="20"/>
              </w:rPr>
              <w:t>onal c</w:t>
            </w:r>
            <w:r w:rsidRPr="00584BCB">
              <w:rPr>
                <w:rFonts w:ascii="Rubik" w:hAnsi="Rubik"/>
                <w:color w:val="000000" w:themeColor="text1"/>
                <w:szCs w:val="20"/>
              </w:rPr>
              <w:t xml:space="preserve">ognitive behaviour </w:t>
            </w:r>
            <w:r w:rsidRPr="00584BCB">
              <w:rPr>
                <w:rFonts w:ascii="Rubik" w:hAnsi="Rubik"/>
                <w:color w:val="000000" w:themeColor="text1"/>
                <w:szCs w:val="20"/>
              </w:rPr>
              <w:lastRenderedPageBreak/>
              <w:t xml:space="preserve">therapy plus supported employment program vs. supported employment </w:t>
            </w:r>
          </w:p>
        </w:tc>
        <w:tc>
          <w:tcPr>
            <w:tcW w:w="625" w:type="pct"/>
          </w:tcPr>
          <w:p w14:paraId="4F7FF98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164 (85/79)</w:t>
            </w:r>
          </w:p>
          <w:p w14:paraId="7B94559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Data recorded as treated, not as intention to treat.</w:t>
            </w:r>
          </w:p>
        </w:tc>
        <w:tc>
          <w:tcPr>
            <w:tcW w:w="625" w:type="pct"/>
          </w:tcPr>
          <w:p w14:paraId="04A40F0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60.7%</w:t>
            </w:r>
          </w:p>
        </w:tc>
        <w:tc>
          <w:tcPr>
            <w:tcW w:w="625" w:type="pct"/>
          </w:tcPr>
          <w:p w14:paraId="24E1F1A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NR</w:t>
            </w:r>
          </w:p>
        </w:tc>
        <w:tc>
          <w:tcPr>
            <w:tcW w:w="625" w:type="pct"/>
          </w:tcPr>
          <w:p w14:paraId="0AFFCF7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36.6 (11.3)</w:t>
            </w:r>
          </w:p>
          <w:p w14:paraId="12C796A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37.0 (11.6)</w:t>
            </w:r>
          </w:p>
          <w:p w14:paraId="0DEB268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36.1 (11.0)</w:t>
            </w:r>
          </w:p>
        </w:tc>
        <w:tc>
          <w:tcPr>
            <w:tcW w:w="625" w:type="pct"/>
          </w:tcPr>
          <w:p w14:paraId="1132338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Severe mental illness (schizophrenia, bipolar, or major depression). </w:t>
            </w:r>
            <w:r w:rsidRPr="00584BCB">
              <w:rPr>
                <w:rFonts w:ascii="Rubik" w:hAnsi="Rubik"/>
                <w:color w:val="000000" w:themeColor="text1"/>
                <w:szCs w:val="20"/>
              </w:rPr>
              <w:lastRenderedPageBreak/>
              <w:t>Primary diagnoses: 18.5% Dx Mood disorder, 7.4% Dx Anxiety disorder, 0.6% Dx Organic disorder, 58.6% Dx Psychotic disorder, 1.2% Dx Substance-related, 6.2% Dx Personality disorder, 1.9% Dx Developmental disorder, 5.6% Dx Other.</w:t>
            </w:r>
          </w:p>
        </w:tc>
        <w:tc>
          <w:tcPr>
            <w:tcW w:w="625" w:type="pct"/>
          </w:tcPr>
          <w:p w14:paraId="4DEEBE9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 xml:space="preserve">Currently not working and seeking work, or working less than 5 hours a week and </w:t>
            </w:r>
            <w:r w:rsidRPr="00584BCB">
              <w:rPr>
                <w:rFonts w:ascii="Rubik" w:hAnsi="Rubik"/>
                <w:color w:val="000000" w:themeColor="text1"/>
                <w:szCs w:val="20"/>
              </w:rPr>
              <w:lastRenderedPageBreak/>
              <w:t>wishing for another job with more hours.</w:t>
            </w:r>
          </w:p>
        </w:tc>
        <w:tc>
          <w:tcPr>
            <w:tcW w:w="625" w:type="pct"/>
          </w:tcPr>
          <w:p w14:paraId="5B139CAC"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lastRenderedPageBreak/>
              <w:t>Contacted, authors responded</w:t>
            </w:r>
          </w:p>
        </w:tc>
      </w:tr>
      <w:tr w:rsidR="00584BCB" w:rsidRPr="00584BCB" w14:paraId="64291D65" w14:textId="77777777" w:rsidTr="00CB3780">
        <w:trPr>
          <w:trHeight w:val="812"/>
        </w:trPr>
        <w:tc>
          <w:tcPr>
            <w:tcW w:w="625" w:type="pct"/>
            <w:hideMark/>
          </w:tcPr>
          <w:p w14:paraId="15A0B03F" w14:textId="6EEC13B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McGurk 2015, USA</w:t>
            </w:r>
            <w:r w:rsidR="00E224E9" w:rsidRPr="00584BCB">
              <w:rPr>
                <w:rFonts w:ascii="Rubik" w:hAnsi="Rubik"/>
                <w:color w:val="000000" w:themeColor="text1"/>
                <w:szCs w:val="20"/>
              </w:rPr>
              <w:t>,</w:t>
            </w:r>
            <w:r w:rsidR="00E224E9" w:rsidRPr="00584BCB">
              <w:rPr>
                <w:color w:val="000000" w:themeColor="text1"/>
              </w:rPr>
              <w:t xml:space="preserve"> </w:t>
            </w:r>
            <w:r w:rsidR="00E224E9" w:rsidRPr="00584BCB">
              <w:rPr>
                <w:rFonts w:ascii="Rubik" w:hAnsi="Rubik"/>
                <w:color w:val="000000" w:themeColor="text1"/>
                <w:szCs w:val="20"/>
              </w:rPr>
              <w:t xml:space="preserve">Thinking Skills for Work Program and Enhanced supported employment vs Enhanced supported employment </w:t>
            </w:r>
          </w:p>
        </w:tc>
        <w:tc>
          <w:tcPr>
            <w:tcW w:w="625" w:type="pct"/>
            <w:hideMark/>
          </w:tcPr>
          <w:p w14:paraId="50962F9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107 (50/57)</w:t>
            </w:r>
          </w:p>
        </w:tc>
        <w:tc>
          <w:tcPr>
            <w:tcW w:w="625" w:type="pct"/>
            <w:hideMark/>
          </w:tcPr>
          <w:p w14:paraId="2CAB768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75.4</w:t>
            </w:r>
          </w:p>
        </w:tc>
        <w:tc>
          <w:tcPr>
            <w:tcW w:w="625" w:type="pct"/>
          </w:tcPr>
          <w:p w14:paraId="48EE593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NR</w:t>
            </w:r>
          </w:p>
        </w:tc>
        <w:tc>
          <w:tcPr>
            <w:tcW w:w="625" w:type="pct"/>
            <w:hideMark/>
          </w:tcPr>
          <w:p w14:paraId="7AE1030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44.1 (11.0)</w:t>
            </w:r>
          </w:p>
          <w:p w14:paraId="253DBC9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42.9 (10.7)</w:t>
            </w:r>
          </w:p>
          <w:p w14:paraId="4C77FA4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45.1 (11.3)</w:t>
            </w:r>
          </w:p>
        </w:tc>
        <w:tc>
          <w:tcPr>
            <w:tcW w:w="625" w:type="pct"/>
            <w:hideMark/>
          </w:tcPr>
          <w:p w14:paraId="31C9CD2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23.4% schizophrenia, 22.4% schizoaffective disorder, 23.4% bipolar disorder, 16.8% major depression, 14.0% other</w:t>
            </w:r>
          </w:p>
        </w:tc>
        <w:tc>
          <w:tcPr>
            <w:tcW w:w="625" w:type="pct"/>
            <w:hideMark/>
          </w:tcPr>
          <w:p w14:paraId="25CF92E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Not worked in past 3 months, or exited competitive job that lasted &lt;3 months</w:t>
            </w:r>
          </w:p>
        </w:tc>
        <w:tc>
          <w:tcPr>
            <w:tcW w:w="625" w:type="pct"/>
          </w:tcPr>
          <w:p w14:paraId="274383EF"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459960F0" w14:textId="77777777" w:rsidTr="00CB3780">
        <w:trPr>
          <w:trHeight w:val="768"/>
        </w:trPr>
        <w:tc>
          <w:tcPr>
            <w:tcW w:w="625" w:type="pct"/>
            <w:hideMark/>
          </w:tcPr>
          <w:p w14:paraId="3BCF8E75" w14:textId="77777777" w:rsidR="00BD1825" w:rsidRPr="00584BCB" w:rsidRDefault="00BD1825" w:rsidP="00BD1825">
            <w:pPr>
              <w:rPr>
                <w:rFonts w:ascii="Rubik" w:hAnsi="Rubik"/>
                <w:color w:val="000000" w:themeColor="text1"/>
                <w:szCs w:val="20"/>
                <w:lang w:val="de-DE"/>
              </w:rPr>
            </w:pPr>
            <w:r w:rsidRPr="00584BCB">
              <w:rPr>
                <w:rFonts w:ascii="Rubik" w:hAnsi="Rubik"/>
                <w:color w:val="000000" w:themeColor="text1"/>
                <w:szCs w:val="20"/>
                <w:lang w:val="de-DE"/>
              </w:rPr>
              <w:t>Michon 2014, Netherlands</w:t>
            </w:r>
            <w:r w:rsidR="009B1C77" w:rsidRPr="00584BCB">
              <w:rPr>
                <w:rFonts w:ascii="Rubik" w:hAnsi="Rubik"/>
                <w:color w:val="000000" w:themeColor="text1"/>
                <w:szCs w:val="20"/>
                <w:lang w:val="de-DE"/>
              </w:rPr>
              <w:t xml:space="preserve">, </w:t>
            </w:r>
          </w:p>
          <w:p w14:paraId="1859A707" w14:textId="143A2F49" w:rsidR="009B1C77" w:rsidRPr="00584BCB" w:rsidRDefault="009B1C77" w:rsidP="00BD1825">
            <w:pPr>
              <w:rPr>
                <w:rFonts w:ascii="Rubik" w:hAnsi="Rubik"/>
                <w:color w:val="000000" w:themeColor="text1"/>
                <w:szCs w:val="20"/>
                <w:lang w:val="de-DE"/>
              </w:rPr>
            </w:pPr>
            <w:r w:rsidRPr="00584BCB">
              <w:rPr>
                <w:rFonts w:ascii="Rubik" w:hAnsi="Rubik"/>
                <w:color w:val="000000" w:themeColor="text1"/>
                <w:szCs w:val="20"/>
                <w:lang w:val="de-DE"/>
              </w:rPr>
              <w:t>IPS vs TVR</w:t>
            </w:r>
          </w:p>
        </w:tc>
        <w:tc>
          <w:tcPr>
            <w:tcW w:w="625" w:type="pct"/>
            <w:hideMark/>
          </w:tcPr>
          <w:p w14:paraId="42696A4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151 (80/71)</w:t>
            </w:r>
          </w:p>
        </w:tc>
        <w:tc>
          <w:tcPr>
            <w:tcW w:w="625" w:type="pct"/>
            <w:hideMark/>
          </w:tcPr>
          <w:p w14:paraId="611EB1C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74.2</w:t>
            </w:r>
          </w:p>
        </w:tc>
        <w:tc>
          <w:tcPr>
            <w:tcW w:w="625" w:type="pct"/>
          </w:tcPr>
          <w:p w14:paraId="719721E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18-65</w:t>
            </w:r>
          </w:p>
        </w:tc>
        <w:tc>
          <w:tcPr>
            <w:tcW w:w="625" w:type="pct"/>
            <w:hideMark/>
          </w:tcPr>
          <w:p w14:paraId="4DFC18A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5B4B473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35.6 (11.0)</w:t>
            </w:r>
          </w:p>
          <w:p w14:paraId="71F8D74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34.1 (9.9)</w:t>
            </w:r>
          </w:p>
        </w:tc>
        <w:tc>
          <w:tcPr>
            <w:tcW w:w="625" w:type="pct"/>
            <w:shd w:val="clear" w:color="auto" w:fill="auto"/>
            <w:hideMark/>
          </w:tcPr>
          <w:p w14:paraId="7268DDF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Clients of long-term mental health care and at baseline 93% of participants were diagnosed with one or more specific mental disorders. </w:t>
            </w:r>
            <w:r w:rsidRPr="00584BCB">
              <w:rPr>
                <w:rFonts w:ascii="Rubik" w:hAnsi="Rubik"/>
                <w:color w:val="000000" w:themeColor="text1"/>
                <w:szCs w:val="20"/>
              </w:rPr>
              <w:lastRenderedPageBreak/>
              <w:t>50.6% psychotic disorder. Remaining participants had various diagnoses, such as enduring major depression, personality disorders, developmental disorders. At baseline 7% was assessed by mental health care professionals as ‘diagnosis postponed’ or ‘no diagnosis available’.</w:t>
            </w:r>
          </w:p>
        </w:tc>
        <w:tc>
          <w:tcPr>
            <w:tcW w:w="625" w:type="pct"/>
            <w:hideMark/>
          </w:tcPr>
          <w:p w14:paraId="3C185F1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No paid work</w:t>
            </w:r>
          </w:p>
        </w:tc>
        <w:tc>
          <w:tcPr>
            <w:tcW w:w="625" w:type="pct"/>
          </w:tcPr>
          <w:p w14:paraId="0E03DF47"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72F6E24C" w14:textId="77777777" w:rsidTr="00CB3780">
        <w:trPr>
          <w:trHeight w:val="410"/>
        </w:trPr>
        <w:tc>
          <w:tcPr>
            <w:tcW w:w="625" w:type="pct"/>
            <w:hideMark/>
          </w:tcPr>
          <w:p w14:paraId="3AD2E078" w14:textId="77777777" w:rsidR="009B1C77" w:rsidRPr="00584BCB" w:rsidRDefault="00BD1825" w:rsidP="00BD1825">
            <w:pPr>
              <w:rPr>
                <w:rFonts w:ascii="Rubik" w:hAnsi="Rubik"/>
                <w:color w:val="000000" w:themeColor="text1"/>
                <w:szCs w:val="20"/>
              </w:rPr>
            </w:pPr>
            <w:r w:rsidRPr="00584BCB">
              <w:rPr>
                <w:rFonts w:ascii="Rubik" w:hAnsi="Rubik"/>
                <w:color w:val="000000" w:themeColor="text1"/>
                <w:szCs w:val="20"/>
              </w:rPr>
              <w:t>Nuechterlein 2020, USA</w:t>
            </w:r>
            <w:r w:rsidR="009B1C77" w:rsidRPr="00584BCB">
              <w:rPr>
                <w:rFonts w:ascii="Rubik" w:hAnsi="Rubik"/>
                <w:color w:val="000000" w:themeColor="text1"/>
                <w:szCs w:val="20"/>
              </w:rPr>
              <w:t xml:space="preserve">, </w:t>
            </w:r>
          </w:p>
          <w:p w14:paraId="2828AF3B" w14:textId="7F9FDAD5" w:rsidR="00BD1825" w:rsidRPr="00584BCB" w:rsidRDefault="009B1C77" w:rsidP="00BD1825">
            <w:pPr>
              <w:rPr>
                <w:rFonts w:ascii="Rubik" w:hAnsi="Rubik"/>
                <w:color w:val="000000" w:themeColor="text1"/>
                <w:szCs w:val="20"/>
              </w:rPr>
            </w:pPr>
            <w:r w:rsidRPr="00584BCB">
              <w:rPr>
                <w:rFonts w:ascii="Rubik" w:hAnsi="Rubik"/>
                <w:color w:val="000000" w:themeColor="text1"/>
                <w:szCs w:val="20"/>
              </w:rPr>
              <w:t xml:space="preserve">IPS plus Workplace Fundamentals Module vs. </w:t>
            </w:r>
            <w:r w:rsidR="00EC725D" w:rsidRPr="00584BCB">
              <w:rPr>
                <w:rFonts w:ascii="Rubik" w:hAnsi="Rubik"/>
                <w:color w:val="000000" w:themeColor="text1"/>
                <w:szCs w:val="20"/>
              </w:rPr>
              <w:t>TVR</w:t>
            </w:r>
            <w:r w:rsidRPr="00584BCB">
              <w:rPr>
                <w:rFonts w:ascii="Rubik" w:hAnsi="Rubik"/>
                <w:color w:val="000000" w:themeColor="text1"/>
                <w:szCs w:val="20"/>
              </w:rPr>
              <w:t xml:space="preserve"> plus social skills training intervention</w:t>
            </w:r>
          </w:p>
        </w:tc>
        <w:tc>
          <w:tcPr>
            <w:tcW w:w="625" w:type="pct"/>
            <w:hideMark/>
          </w:tcPr>
          <w:p w14:paraId="3BD72E5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69 (23/46)</w:t>
            </w:r>
          </w:p>
        </w:tc>
        <w:tc>
          <w:tcPr>
            <w:tcW w:w="625" w:type="pct"/>
            <w:hideMark/>
          </w:tcPr>
          <w:p w14:paraId="4918C8F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66.7</w:t>
            </w:r>
          </w:p>
        </w:tc>
        <w:tc>
          <w:tcPr>
            <w:tcW w:w="625" w:type="pct"/>
          </w:tcPr>
          <w:p w14:paraId="56E3A3D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18-45</w:t>
            </w:r>
          </w:p>
        </w:tc>
        <w:tc>
          <w:tcPr>
            <w:tcW w:w="625" w:type="pct"/>
            <w:hideMark/>
          </w:tcPr>
          <w:p w14:paraId="761275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24.5</w:t>
            </w:r>
          </w:p>
          <w:p w14:paraId="3D34B6B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25.1 (3.8)</w:t>
            </w:r>
          </w:p>
          <w:p w14:paraId="2A52FE6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24.2 (4.2)</w:t>
            </w:r>
          </w:p>
        </w:tc>
        <w:tc>
          <w:tcPr>
            <w:tcW w:w="625" w:type="pct"/>
            <w:hideMark/>
          </w:tcPr>
          <w:p w14:paraId="4CF56591" w14:textId="10F9C779"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84% schizophrenia; 14% schizoaffective disorder, depressed type, mainly </w:t>
            </w:r>
            <w:r w:rsidR="00D50325" w:rsidRPr="00584BCB">
              <w:rPr>
                <w:rFonts w:ascii="Rubik" w:hAnsi="Rubik"/>
                <w:color w:val="000000" w:themeColor="text1"/>
                <w:szCs w:val="20"/>
              </w:rPr>
              <w:t>schizophrenic; 2</w:t>
            </w:r>
            <w:r w:rsidRPr="00584BCB">
              <w:rPr>
                <w:rFonts w:ascii="Rubik" w:hAnsi="Rubik"/>
                <w:color w:val="000000" w:themeColor="text1"/>
                <w:szCs w:val="20"/>
              </w:rPr>
              <w:t>% with schizoaffective disorder, manic type, mainly schizophrenic</w:t>
            </w:r>
          </w:p>
        </w:tc>
        <w:tc>
          <w:tcPr>
            <w:tcW w:w="625" w:type="pct"/>
            <w:hideMark/>
          </w:tcPr>
          <w:p w14:paraId="7D464A7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Employed or unemployed</w:t>
            </w:r>
          </w:p>
        </w:tc>
        <w:tc>
          <w:tcPr>
            <w:tcW w:w="625" w:type="pct"/>
          </w:tcPr>
          <w:p w14:paraId="0CA36218"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6DEF636F" w14:textId="77777777" w:rsidTr="00CB3780">
        <w:trPr>
          <w:trHeight w:val="557"/>
        </w:trPr>
        <w:tc>
          <w:tcPr>
            <w:tcW w:w="625" w:type="pct"/>
            <w:hideMark/>
          </w:tcPr>
          <w:p w14:paraId="368B0ED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Oshima 2014, Japan</w:t>
            </w:r>
            <w:r w:rsidR="00EC725D" w:rsidRPr="00584BCB">
              <w:rPr>
                <w:rFonts w:ascii="Rubik" w:hAnsi="Rubik"/>
                <w:color w:val="000000" w:themeColor="text1"/>
                <w:szCs w:val="20"/>
              </w:rPr>
              <w:t xml:space="preserve">, </w:t>
            </w:r>
          </w:p>
          <w:p w14:paraId="04546491" w14:textId="4EF52194" w:rsidR="00EC725D" w:rsidRPr="00584BCB" w:rsidRDefault="00EC725D" w:rsidP="00BD1825">
            <w:pPr>
              <w:rPr>
                <w:rFonts w:ascii="Rubik" w:hAnsi="Rubik"/>
                <w:color w:val="000000" w:themeColor="text1"/>
                <w:szCs w:val="20"/>
              </w:rPr>
            </w:pPr>
            <w:r w:rsidRPr="00584BCB">
              <w:rPr>
                <w:rFonts w:ascii="Rubik" w:hAnsi="Rubik"/>
                <w:color w:val="000000" w:themeColor="text1"/>
                <w:szCs w:val="20"/>
              </w:rPr>
              <w:t>IPS vs TVR</w:t>
            </w:r>
          </w:p>
        </w:tc>
        <w:tc>
          <w:tcPr>
            <w:tcW w:w="625" w:type="pct"/>
            <w:hideMark/>
          </w:tcPr>
          <w:p w14:paraId="34A2B1F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37 (19/18)</w:t>
            </w:r>
          </w:p>
        </w:tc>
        <w:tc>
          <w:tcPr>
            <w:tcW w:w="625" w:type="pct"/>
            <w:hideMark/>
          </w:tcPr>
          <w:p w14:paraId="60923FC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75.7</w:t>
            </w:r>
          </w:p>
        </w:tc>
        <w:tc>
          <w:tcPr>
            <w:tcW w:w="625" w:type="pct"/>
          </w:tcPr>
          <w:p w14:paraId="65A5701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18-59</w:t>
            </w:r>
          </w:p>
        </w:tc>
        <w:tc>
          <w:tcPr>
            <w:tcW w:w="625" w:type="pct"/>
            <w:hideMark/>
          </w:tcPr>
          <w:p w14:paraId="16CAD29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7DFCC9D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41.1 (9.4)</w:t>
            </w:r>
          </w:p>
          <w:p w14:paraId="65D7E35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40.1 (8.5)</w:t>
            </w:r>
          </w:p>
        </w:tc>
        <w:tc>
          <w:tcPr>
            <w:tcW w:w="625" w:type="pct"/>
            <w:shd w:val="clear" w:color="auto" w:fill="auto"/>
            <w:hideMark/>
          </w:tcPr>
          <w:p w14:paraId="26388CD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Primary diagnosis of either schizophrenia, </w:t>
            </w:r>
            <w:r w:rsidRPr="00584BCB">
              <w:rPr>
                <w:rFonts w:ascii="Rubik" w:hAnsi="Rubik"/>
                <w:color w:val="000000" w:themeColor="text1"/>
                <w:szCs w:val="20"/>
              </w:rPr>
              <w:lastRenderedPageBreak/>
              <w:t>mood disorder, or neurotic disorder</w:t>
            </w:r>
          </w:p>
        </w:tc>
        <w:tc>
          <w:tcPr>
            <w:tcW w:w="625" w:type="pct"/>
            <w:hideMark/>
          </w:tcPr>
          <w:p w14:paraId="627FFBF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Not competitively employed</w:t>
            </w:r>
          </w:p>
        </w:tc>
        <w:tc>
          <w:tcPr>
            <w:tcW w:w="625" w:type="pct"/>
          </w:tcPr>
          <w:p w14:paraId="62F1B666"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7387368D" w14:textId="77777777" w:rsidTr="00CB3780">
        <w:trPr>
          <w:trHeight w:val="612"/>
        </w:trPr>
        <w:tc>
          <w:tcPr>
            <w:tcW w:w="625" w:type="pct"/>
            <w:hideMark/>
          </w:tcPr>
          <w:p w14:paraId="30FADDB0" w14:textId="77777777" w:rsidR="00BD1825" w:rsidRPr="00584BCB" w:rsidRDefault="00BD1825" w:rsidP="00BD1825">
            <w:pPr>
              <w:rPr>
                <w:rFonts w:ascii="Rubik" w:hAnsi="Rubik"/>
                <w:color w:val="000000" w:themeColor="text1"/>
                <w:szCs w:val="20"/>
                <w:lang w:val="pt-BR"/>
              </w:rPr>
            </w:pPr>
            <w:r w:rsidRPr="00584BCB">
              <w:rPr>
                <w:rFonts w:ascii="Rubik" w:hAnsi="Rubik"/>
                <w:color w:val="000000" w:themeColor="text1"/>
                <w:szCs w:val="20"/>
                <w:lang w:val="pt-BR"/>
              </w:rPr>
              <w:t>Poremski 2017, Canada</w:t>
            </w:r>
            <w:r w:rsidR="00EC725D" w:rsidRPr="00584BCB">
              <w:rPr>
                <w:rFonts w:ascii="Rubik" w:hAnsi="Rubik"/>
                <w:color w:val="000000" w:themeColor="text1"/>
                <w:szCs w:val="20"/>
                <w:lang w:val="pt-BR"/>
              </w:rPr>
              <w:t xml:space="preserve">, </w:t>
            </w:r>
          </w:p>
          <w:p w14:paraId="13C6873F" w14:textId="587B89D2" w:rsidR="00EC725D" w:rsidRPr="00584BCB" w:rsidRDefault="00EC725D" w:rsidP="00BD1825">
            <w:pPr>
              <w:rPr>
                <w:rFonts w:ascii="Rubik" w:hAnsi="Rubik"/>
                <w:color w:val="000000" w:themeColor="text1"/>
                <w:szCs w:val="20"/>
                <w:lang w:val="pt-BR"/>
              </w:rPr>
            </w:pPr>
            <w:r w:rsidRPr="00584BCB">
              <w:rPr>
                <w:rFonts w:ascii="Rubik" w:hAnsi="Rubik"/>
                <w:color w:val="000000" w:themeColor="text1"/>
                <w:szCs w:val="20"/>
                <w:lang w:val="pt-BR"/>
              </w:rPr>
              <w:t>IPS vs TVR</w:t>
            </w:r>
          </w:p>
        </w:tc>
        <w:tc>
          <w:tcPr>
            <w:tcW w:w="625" w:type="pct"/>
            <w:hideMark/>
          </w:tcPr>
          <w:p w14:paraId="423F415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90 (45/45)</w:t>
            </w:r>
          </w:p>
        </w:tc>
        <w:tc>
          <w:tcPr>
            <w:tcW w:w="625" w:type="pct"/>
            <w:hideMark/>
          </w:tcPr>
          <w:p w14:paraId="0FBAB56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63.3</w:t>
            </w:r>
          </w:p>
        </w:tc>
        <w:tc>
          <w:tcPr>
            <w:tcW w:w="625" w:type="pct"/>
          </w:tcPr>
          <w:p w14:paraId="08CEABA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 or older</w:t>
            </w:r>
          </w:p>
        </w:tc>
        <w:tc>
          <w:tcPr>
            <w:tcW w:w="625" w:type="pct"/>
            <w:hideMark/>
          </w:tcPr>
          <w:p w14:paraId="7B9C011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2AE24D2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47.1 (10.6)</w:t>
            </w:r>
          </w:p>
          <w:p w14:paraId="46B7D3B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45.2 (9.4)</w:t>
            </w:r>
          </w:p>
        </w:tc>
        <w:tc>
          <w:tcPr>
            <w:tcW w:w="625" w:type="pct"/>
            <w:hideMark/>
          </w:tcPr>
          <w:p w14:paraId="15423D4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64% major depressive disorder, 22% psychotic disorder, 6 % panic disorder, 4 % mania-hypomania, 3% post-traumatic stress disorder</w:t>
            </w:r>
          </w:p>
        </w:tc>
        <w:tc>
          <w:tcPr>
            <w:tcW w:w="625" w:type="pct"/>
            <w:hideMark/>
          </w:tcPr>
          <w:p w14:paraId="29354A7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Not working </w:t>
            </w:r>
          </w:p>
        </w:tc>
        <w:tc>
          <w:tcPr>
            <w:tcW w:w="625" w:type="pct"/>
          </w:tcPr>
          <w:p w14:paraId="7C76C597"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1D918E55" w14:textId="77777777" w:rsidTr="00CB3780">
        <w:trPr>
          <w:trHeight w:val="841"/>
        </w:trPr>
        <w:tc>
          <w:tcPr>
            <w:tcW w:w="625" w:type="pct"/>
            <w:hideMark/>
          </w:tcPr>
          <w:p w14:paraId="564667D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Russinova 2018, USA</w:t>
            </w:r>
            <w:r w:rsidR="00EC725D" w:rsidRPr="00584BCB">
              <w:rPr>
                <w:rFonts w:ascii="Rubik" w:hAnsi="Rubik"/>
                <w:color w:val="000000" w:themeColor="text1"/>
                <w:szCs w:val="20"/>
              </w:rPr>
              <w:t xml:space="preserve">, </w:t>
            </w:r>
          </w:p>
          <w:p w14:paraId="2544B370" w14:textId="463AB8C8" w:rsidR="00EC725D" w:rsidRPr="00584BCB" w:rsidRDefault="00EC725D" w:rsidP="00BD1825">
            <w:pPr>
              <w:rPr>
                <w:rFonts w:ascii="Rubik" w:hAnsi="Rubik"/>
                <w:color w:val="000000" w:themeColor="text1"/>
                <w:szCs w:val="20"/>
              </w:rPr>
            </w:pPr>
            <w:r w:rsidRPr="00584BCB">
              <w:rPr>
                <w:rFonts w:ascii="Rubik" w:hAnsi="Rubik"/>
                <w:color w:val="000000" w:themeColor="text1"/>
                <w:szCs w:val="20"/>
              </w:rPr>
              <w:t>Vocational Empowerment Photovoice vs Wait-list control</w:t>
            </w:r>
          </w:p>
        </w:tc>
        <w:tc>
          <w:tcPr>
            <w:tcW w:w="625" w:type="pct"/>
            <w:hideMark/>
          </w:tcPr>
          <w:p w14:paraId="57A49F0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55 (29/26</w:t>
            </w:r>
          </w:p>
          <w:p w14:paraId="617603D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N=4 (C:2, I:2) excluded from analysis as already in receipt of employment services)</w:t>
            </w:r>
          </w:p>
        </w:tc>
        <w:tc>
          <w:tcPr>
            <w:tcW w:w="625" w:type="pct"/>
            <w:hideMark/>
          </w:tcPr>
          <w:p w14:paraId="077D6A2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39.2</w:t>
            </w:r>
          </w:p>
        </w:tc>
        <w:tc>
          <w:tcPr>
            <w:tcW w:w="625" w:type="pct"/>
          </w:tcPr>
          <w:p w14:paraId="715F26D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 or older</w:t>
            </w:r>
          </w:p>
        </w:tc>
        <w:tc>
          <w:tcPr>
            <w:tcW w:w="625" w:type="pct"/>
            <w:hideMark/>
          </w:tcPr>
          <w:p w14:paraId="6A623F4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5621742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45.3 (14.2)</w:t>
            </w:r>
          </w:p>
          <w:p w14:paraId="5C7210A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47.0 (10.9)</w:t>
            </w:r>
          </w:p>
        </w:tc>
        <w:tc>
          <w:tcPr>
            <w:tcW w:w="625" w:type="pct"/>
            <w:hideMark/>
          </w:tcPr>
          <w:p w14:paraId="1EF69723" w14:textId="5236918F"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31.4 % schizophrenia/schizoaffective, 31.4% bipolar, 33.3% bipolar, 2.0% post-traumatic stress disorder and anxiety/panic disorder, 2.0</w:t>
            </w:r>
            <w:r w:rsidR="00D50325" w:rsidRPr="00584BCB">
              <w:rPr>
                <w:rFonts w:ascii="Rubik" w:hAnsi="Rubik"/>
                <w:color w:val="000000" w:themeColor="text1"/>
                <w:szCs w:val="20"/>
              </w:rPr>
              <w:t>% personality</w:t>
            </w:r>
            <w:r w:rsidRPr="00584BCB">
              <w:rPr>
                <w:rFonts w:ascii="Rubik" w:hAnsi="Rubik"/>
                <w:color w:val="000000" w:themeColor="text1"/>
                <w:szCs w:val="20"/>
              </w:rPr>
              <w:t xml:space="preserve"> disorder, 2.0% post-traumatic stress disorder, anxiety/panic disorder and personality disorder</w:t>
            </w:r>
          </w:p>
        </w:tc>
        <w:tc>
          <w:tcPr>
            <w:tcW w:w="625" w:type="pct"/>
            <w:hideMark/>
          </w:tcPr>
          <w:p w14:paraId="7510EED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Not working</w:t>
            </w:r>
          </w:p>
        </w:tc>
        <w:tc>
          <w:tcPr>
            <w:tcW w:w="625" w:type="pct"/>
          </w:tcPr>
          <w:p w14:paraId="25A74868"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6B26CB86" w14:textId="77777777" w:rsidTr="00CB3780">
        <w:trPr>
          <w:trHeight w:val="564"/>
        </w:trPr>
        <w:tc>
          <w:tcPr>
            <w:tcW w:w="625" w:type="pct"/>
            <w:hideMark/>
          </w:tcPr>
          <w:p w14:paraId="5C5361F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Schneider 2016, UK</w:t>
            </w:r>
            <w:r w:rsidR="00EC725D" w:rsidRPr="00584BCB">
              <w:rPr>
                <w:rFonts w:ascii="Rubik" w:hAnsi="Rubik"/>
                <w:color w:val="000000" w:themeColor="text1"/>
                <w:szCs w:val="20"/>
              </w:rPr>
              <w:t xml:space="preserve">, </w:t>
            </w:r>
          </w:p>
          <w:p w14:paraId="740E1078" w14:textId="36EDE1A6" w:rsidR="00EC725D" w:rsidRPr="00584BCB" w:rsidRDefault="00EC725D" w:rsidP="00BD1825">
            <w:pPr>
              <w:rPr>
                <w:rFonts w:ascii="Rubik" w:hAnsi="Rubik"/>
                <w:color w:val="000000" w:themeColor="text1"/>
                <w:szCs w:val="20"/>
              </w:rPr>
            </w:pPr>
            <w:r w:rsidRPr="00584BCB">
              <w:rPr>
                <w:rFonts w:ascii="Rubik" w:hAnsi="Rubik"/>
                <w:color w:val="000000" w:themeColor="text1"/>
                <w:szCs w:val="20"/>
              </w:rPr>
              <w:lastRenderedPageBreak/>
              <w:t>IPS plus work-focused counselling vs. IPS</w:t>
            </w:r>
          </w:p>
        </w:tc>
        <w:tc>
          <w:tcPr>
            <w:tcW w:w="625" w:type="pct"/>
            <w:hideMark/>
          </w:tcPr>
          <w:p w14:paraId="5A9AB14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74 (37/37)</w:t>
            </w:r>
          </w:p>
        </w:tc>
        <w:tc>
          <w:tcPr>
            <w:tcW w:w="625" w:type="pct"/>
            <w:hideMark/>
          </w:tcPr>
          <w:p w14:paraId="7B8F90A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70.3</w:t>
            </w:r>
          </w:p>
        </w:tc>
        <w:tc>
          <w:tcPr>
            <w:tcW w:w="625" w:type="pct"/>
          </w:tcPr>
          <w:p w14:paraId="4DAC9E9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18-60</w:t>
            </w:r>
          </w:p>
        </w:tc>
        <w:tc>
          <w:tcPr>
            <w:tcW w:w="625" w:type="pct"/>
            <w:hideMark/>
          </w:tcPr>
          <w:p w14:paraId="724E18B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391643D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29.5 (NR)</w:t>
            </w:r>
          </w:p>
          <w:p w14:paraId="2634C38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I: 30.5 (NR)</w:t>
            </w:r>
          </w:p>
        </w:tc>
        <w:tc>
          <w:tcPr>
            <w:tcW w:w="625" w:type="pct"/>
            <w:hideMark/>
          </w:tcPr>
          <w:p w14:paraId="513CFB2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 xml:space="preserve">43.2% Psychosis, 23.0% Schizophrenia, 14.9% Bipolar </w:t>
            </w:r>
            <w:r w:rsidRPr="00584BCB">
              <w:rPr>
                <w:rFonts w:ascii="Rubik" w:hAnsi="Rubik"/>
                <w:color w:val="000000" w:themeColor="text1"/>
                <w:szCs w:val="20"/>
              </w:rPr>
              <w:lastRenderedPageBreak/>
              <w:t>disorder, 13.5% Depression, 4.1% Other</w:t>
            </w:r>
          </w:p>
        </w:tc>
        <w:tc>
          <w:tcPr>
            <w:tcW w:w="625" w:type="pct"/>
            <w:hideMark/>
          </w:tcPr>
          <w:p w14:paraId="2B7B4E4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Not currently in work</w:t>
            </w:r>
          </w:p>
        </w:tc>
        <w:tc>
          <w:tcPr>
            <w:tcW w:w="625" w:type="pct"/>
          </w:tcPr>
          <w:p w14:paraId="3477989F"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2EA01FB3" w14:textId="77777777" w:rsidTr="00CB3780">
        <w:trPr>
          <w:trHeight w:val="416"/>
        </w:trPr>
        <w:tc>
          <w:tcPr>
            <w:tcW w:w="625" w:type="pct"/>
            <w:hideMark/>
          </w:tcPr>
          <w:p w14:paraId="4A5AC39F" w14:textId="47A8BB0B"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Smith 2015, USA</w:t>
            </w:r>
            <w:r w:rsidR="00EC725D" w:rsidRPr="00584BCB">
              <w:rPr>
                <w:rFonts w:ascii="Rubik" w:hAnsi="Rubik"/>
                <w:color w:val="000000" w:themeColor="text1"/>
                <w:szCs w:val="20"/>
              </w:rPr>
              <w:t>, Virtual reality job interview training vs waitlist control</w:t>
            </w:r>
          </w:p>
        </w:tc>
        <w:tc>
          <w:tcPr>
            <w:tcW w:w="625" w:type="pct"/>
            <w:hideMark/>
          </w:tcPr>
          <w:p w14:paraId="170F92F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25 (8/17) </w:t>
            </w:r>
          </w:p>
          <w:p w14:paraId="4B86C0C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N=32 with participants from previous RCTs included in analysis (11 control, 21 intervention)</w:t>
            </w:r>
          </w:p>
        </w:tc>
        <w:tc>
          <w:tcPr>
            <w:tcW w:w="625" w:type="pct"/>
            <w:hideMark/>
          </w:tcPr>
          <w:p w14:paraId="0B9EC6C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53.1</w:t>
            </w:r>
          </w:p>
        </w:tc>
        <w:tc>
          <w:tcPr>
            <w:tcW w:w="625" w:type="pct"/>
          </w:tcPr>
          <w:p w14:paraId="653D498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18–55</w:t>
            </w:r>
          </w:p>
        </w:tc>
        <w:tc>
          <w:tcPr>
            <w:tcW w:w="625" w:type="pct"/>
            <w:hideMark/>
          </w:tcPr>
          <w:p w14:paraId="7B3B0D4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2378FD9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39.1 (10.6)</w:t>
            </w:r>
          </w:p>
          <w:p w14:paraId="73A6391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40.8 (12.2)</w:t>
            </w:r>
          </w:p>
        </w:tc>
        <w:tc>
          <w:tcPr>
            <w:tcW w:w="625" w:type="pct"/>
            <w:hideMark/>
          </w:tcPr>
          <w:p w14:paraId="4AE9050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100% schizophrenia or schizoaffective disorder</w:t>
            </w:r>
          </w:p>
        </w:tc>
        <w:tc>
          <w:tcPr>
            <w:tcW w:w="625" w:type="pct"/>
            <w:hideMark/>
          </w:tcPr>
          <w:p w14:paraId="6872466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 or underemployed</w:t>
            </w:r>
          </w:p>
        </w:tc>
        <w:tc>
          <w:tcPr>
            <w:tcW w:w="625" w:type="pct"/>
          </w:tcPr>
          <w:p w14:paraId="03033F4D"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5E19F541" w14:textId="77777777" w:rsidTr="00CB3780">
        <w:trPr>
          <w:trHeight w:val="583"/>
        </w:trPr>
        <w:tc>
          <w:tcPr>
            <w:tcW w:w="625" w:type="pct"/>
            <w:hideMark/>
          </w:tcPr>
          <w:p w14:paraId="4FECEEBE" w14:textId="36E3E6AC"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Smith 2015, USA</w:t>
            </w:r>
            <w:r w:rsidR="00EC725D" w:rsidRPr="00584BCB">
              <w:rPr>
                <w:rFonts w:ascii="Rubik" w:hAnsi="Rubik"/>
                <w:color w:val="000000" w:themeColor="text1"/>
                <w:szCs w:val="20"/>
              </w:rPr>
              <w:t>, Virtual reality job interview training vs waitlist control</w:t>
            </w:r>
          </w:p>
        </w:tc>
        <w:tc>
          <w:tcPr>
            <w:tcW w:w="625" w:type="pct"/>
            <w:hideMark/>
          </w:tcPr>
          <w:p w14:paraId="4F8FE24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70 (22/48)</w:t>
            </w:r>
          </w:p>
        </w:tc>
        <w:tc>
          <w:tcPr>
            <w:tcW w:w="625" w:type="pct"/>
            <w:hideMark/>
          </w:tcPr>
          <w:p w14:paraId="5DE80C1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NR (68.6 at 6 months)</w:t>
            </w:r>
          </w:p>
        </w:tc>
        <w:tc>
          <w:tcPr>
            <w:tcW w:w="625" w:type="pct"/>
          </w:tcPr>
          <w:p w14:paraId="2A25A45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18–65</w:t>
            </w:r>
          </w:p>
        </w:tc>
        <w:tc>
          <w:tcPr>
            <w:tcW w:w="625" w:type="pct"/>
            <w:hideMark/>
          </w:tcPr>
          <w:p w14:paraId="011E04A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77A5683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49.1 (10.9)</w:t>
            </w:r>
          </w:p>
          <w:p w14:paraId="1F9BCEE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47 (12.4)</w:t>
            </w:r>
          </w:p>
        </w:tc>
        <w:tc>
          <w:tcPr>
            <w:tcW w:w="625" w:type="pct"/>
            <w:hideMark/>
          </w:tcPr>
          <w:p w14:paraId="375CB5C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45.1 Posttraumatic stress disorder, 47.1 Major depressive disorder, 33.3 Bipolar disorder, 15.7 Schizophrenia or schizoaffective disorder</w:t>
            </w:r>
          </w:p>
        </w:tc>
        <w:tc>
          <w:tcPr>
            <w:tcW w:w="625" w:type="pct"/>
            <w:hideMark/>
          </w:tcPr>
          <w:p w14:paraId="7AB7636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 or underemployed</w:t>
            </w:r>
          </w:p>
        </w:tc>
        <w:tc>
          <w:tcPr>
            <w:tcW w:w="625" w:type="pct"/>
          </w:tcPr>
          <w:p w14:paraId="686DF9ED"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55F51B59" w14:textId="77777777" w:rsidTr="00CB3780">
        <w:trPr>
          <w:trHeight w:val="549"/>
        </w:trPr>
        <w:tc>
          <w:tcPr>
            <w:tcW w:w="625" w:type="pct"/>
            <w:hideMark/>
          </w:tcPr>
          <w:p w14:paraId="5BFBE2A9" w14:textId="77777777" w:rsidR="00EC725D" w:rsidRPr="00584BCB" w:rsidRDefault="00BD1825" w:rsidP="00BD1825">
            <w:pPr>
              <w:rPr>
                <w:rFonts w:ascii="Rubik" w:hAnsi="Rubik"/>
                <w:color w:val="000000" w:themeColor="text1"/>
                <w:szCs w:val="20"/>
              </w:rPr>
            </w:pPr>
            <w:r w:rsidRPr="00584BCB">
              <w:rPr>
                <w:rFonts w:ascii="Rubik" w:hAnsi="Rubik"/>
                <w:color w:val="000000" w:themeColor="text1"/>
                <w:szCs w:val="20"/>
              </w:rPr>
              <w:t>Tsang 2010, Hong Kong</w:t>
            </w:r>
            <w:r w:rsidR="00EC725D" w:rsidRPr="00584BCB">
              <w:rPr>
                <w:rFonts w:ascii="Rubik" w:hAnsi="Rubik"/>
                <w:color w:val="000000" w:themeColor="text1"/>
                <w:szCs w:val="20"/>
              </w:rPr>
              <w:t xml:space="preserve">, </w:t>
            </w:r>
          </w:p>
          <w:p w14:paraId="24E297A1" w14:textId="68496E66" w:rsidR="00BD1825" w:rsidRPr="00584BCB" w:rsidRDefault="00EC725D" w:rsidP="00BD1825">
            <w:pPr>
              <w:rPr>
                <w:rFonts w:ascii="Rubik" w:hAnsi="Rubik"/>
                <w:color w:val="000000" w:themeColor="text1"/>
                <w:szCs w:val="20"/>
              </w:rPr>
            </w:pPr>
            <w:r w:rsidRPr="00584BCB">
              <w:rPr>
                <w:rFonts w:ascii="Rubik" w:hAnsi="Rubik"/>
                <w:color w:val="000000" w:themeColor="text1"/>
                <w:szCs w:val="20"/>
              </w:rPr>
              <w:t xml:space="preserve">IPS and work-related social skills training vs. IPS vs. TVR </w:t>
            </w:r>
            <w:r w:rsidR="00BD1825" w:rsidRPr="00584BCB">
              <w:rPr>
                <w:rFonts w:ascii="Rubik" w:hAnsi="Rubik"/>
                <w:color w:val="000000" w:themeColor="text1"/>
                <w:szCs w:val="20"/>
              </w:rPr>
              <w:t xml:space="preserve"> </w:t>
            </w:r>
          </w:p>
        </w:tc>
        <w:tc>
          <w:tcPr>
            <w:tcW w:w="625" w:type="pct"/>
            <w:hideMark/>
          </w:tcPr>
          <w:p w14:paraId="23DFCD3D" w14:textId="59A10348"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189 (IPS 65, Integrated </w:t>
            </w:r>
            <w:r w:rsidR="00BB561B" w:rsidRPr="00584BCB">
              <w:rPr>
                <w:rFonts w:ascii="Rubik" w:hAnsi="Rubik"/>
                <w:color w:val="000000" w:themeColor="text1"/>
                <w:szCs w:val="20"/>
              </w:rPr>
              <w:t>Vocational Program</w:t>
            </w:r>
            <w:r w:rsidRPr="00584BCB">
              <w:rPr>
                <w:rFonts w:ascii="Rubik" w:hAnsi="Rubik"/>
                <w:color w:val="000000" w:themeColor="text1"/>
                <w:szCs w:val="20"/>
              </w:rPr>
              <w:t xml:space="preserve"> 58, TVR 66)</w:t>
            </w:r>
          </w:p>
        </w:tc>
        <w:tc>
          <w:tcPr>
            <w:tcW w:w="625" w:type="pct"/>
            <w:hideMark/>
          </w:tcPr>
          <w:p w14:paraId="5BD1572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49.2</w:t>
            </w:r>
          </w:p>
        </w:tc>
        <w:tc>
          <w:tcPr>
            <w:tcW w:w="625" w:type="pct"/>
          </w:tcPr>
          <w:p w14:paraId="090963A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NR</w:t>
            </w:r>
          </w:p>
        </w:tc>
        <w:tc>
          <w:tcPr>
            <w:tcW w:w="625" w:type="pct"/>
            <w:hideMark/>
          </w:tcPr>
          <w:p w14:paraId="4840305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618B686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36.5 (7.6)</w:t>
            </w:r>
          </w:p>
          <w:p w14:paraId="3C31E9E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34.1 (9.0)</w:t>
            </w:r>
          </w:p>
        </w:tc>
        <w:tc>
          <w:tcPr>
            <w:tcW w:w="625" w:type="pct"/>
            <w:shd w:val="clear" w:color="auto" w:fill="auto"/>
            <w:hideMark/>
          </w:tcPr>
          <w:p w14:paraId="61E60CC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76.7% schizophrenia, 23.3% other</w:t>
            </w:r>
          </w:p>
        </w:tc>
        <w:tc>
          <w:tcPr>
            <w:tcW w:w="625" w:type="pct"/>
            <w:hideMark/>
          </w:tcPr>
          <w:p w14:paraId="5184A59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625" w:type="pct"/>
          </w:tcPr>
          <w:p w14:paraId="68D1DC16"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6C30AA5A" w14:textId="77777777" w:rsidTr="00CB3780">
        <w:trPr>
          <w:trHeight w:val="529"/>
        </w:trPr>
        <w:tc>
          <w:tcPr>
            <w:tcW w:w="625" w:type="pct"/>
            <w:hideMark/>
          </w:tcPr>
          <w:p w14:paraId="39942699" w14:textId="77777777" w:rsidR="00EC725D" w:rsidRPr="00584BCB" w:rsidRDefault="00BD1825" w:rsidP="00BD1825">
            <w:pPr>
              <w:rPr>
                <w:rFonts w:ascii="Rubik" w:hAnsi="Rubik"/>
                <w:color w:val="000000" w:themeColor="text1"/>
                <w:szCs w:val="20"/>
              </w:rPr>
            </w:pPr>
            <w:r w:rsidRPr="00584BCB">
              <w:rPr>
                <w:rFonts w:ascii="Rubik" w:hAnsi="Rubik"/>
                <w:color w:val="000000" w:themeColor="text1"/>
                <w:szCs w:val="20"/>
              </w:rPr>
              <w:t>Twamley 2012, USA</w:t>
            </w:r>
            <w:r w:rsidR="00EC725D" w:rsidRPr="00584BCB">
              <w:rPr>
                <w:rFonts w:ascii="Rubik" w:hAnsi="Rubik"/>
                <w:color w:val="000000" w:themeColor="text1"/>
                <w:szCs w:val="20"/>
              </w:rPr>
              <w:t xml:space="preserve">, </w:t>
            </w:r>
          </w:p>
          <w:p w14:paraId="3726F9A1" w14:textId="639CB100" w:rsidR="00BD1825" w:rsidRPr="00584BCB" w:rsidRDefault="00EC725D" w:rsidP="00BD1825">
            <w:pPr>
              <w:rPr>
                <w:rFonts w:ascii="Rubik" w:hAnsi="Rubik"/>
                <w:color w:val="000000" w:themeColor="text1"/>
                <w:szCs w:val="20"/>
              </w:rPr>
            </w:pPr>
            <w:r w:rsidRPr="00584BCB">
              <w:rPr>
                <w:rFonts w:ascii="Rubik" w:hAnsi="Rubik"/>
                <w:color w:val="000000" w:themeColor="text1"/>
                <w:szCs w:val="20"/>
              </w:rPr>
              <w:t>IPS vs TVR</w:t>
            </w:r>
            <w:r w:rsidR="00BD1825" w:rsidRPr="00584BCB">
              <w:rPr>
                <w:rFonts w:ascii="Rubik" w:hAnsi="Rubik"/>
                <w:color w:val="000000" w:themeColor="text1"/>
                <w:szCs w:val="20"/>
              </w:rPr>
              <w:t xml:space="preserve"> </w:t>
            </w:r>
          </w:p>
        </w:tc>
        <w:tc>
          <w:tcPr>
            <w:tcW w:w="625" w:type="pct"/>
            <w:hideMark/>
          </w:tcPr>
          <w:p w14:paraId="6D435639"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58 (28/30)</w:t>
            </w:r>
          </w:p>
        </w:tc>
        <w:tc>
          <w:tcPr>
            <w:tcW w:w="625" w:type="pct"/>
            <w:hideMark/>
          </w:tcPr>
          <w:p w14:paraId="4B4FC68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63.8</w:t>
            </w:r>
          </w:p>
        </w:tc>
        <w:tc>
          <w:tcPr>
            <w:tcW w:w="625" w:type="pct"/>
          </w:tcPr>
          <w:p w14:paraId="4E7F688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45 or older</w:t>
            </w:r>
          </w:p>
        </w:tc>
        <w:tc>
          <w:tcPr>
            <w:tcW w:w="625" w:type="pct"/>
            <w:hideMark/>
          </w:tcPr>
          <w:p w14:paraId="08D9F43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51 (SD NR)</w:t>
            </w:r>
          </w:p>
          <w:p w14:paraId="2C79938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51.8 (5.1)</w:t>
            </w:r>
          </w:p>
          <w:p w14:paraId="4F1E785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50.3 (3.5)</w:t>
            </w:r>
          </w:p>
        </w:tc>
        <w:tc>
          <w:tcPr>
            <w:tcW w:w="625" w:type="pct"/>
            <w:hideMark/>
          </w:tcPr>
          <w:p w14:paraId="5EFA8B1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40% schizophrenia, 60% schizoaffective disorder</w:t>
            </w:r>
          </w:p>
        </w:tc>
        <w:tc>
          <w:tcPr>
            <w:tcW w:w="625" w:type="pct"/>
            <w:hideMark/>
          </w:tcPr>
          <w:p w14:paraId="4CB634F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625" w:type="pct"/>
          </w:tcPr>
          <w:p w14:paraId="051AB223"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r w:rsidR="00584BCB" w:rsidRPr="00584BCB" w14:paraId="07D80EE0" w14:textId="77777777" w:rsidTr="00CB3780">
        <w:trPr>
          <w:trHeight w:val="637"/>
        </w:trPr>
        <w:tc>
          <w:tcPr>
            <w:tcW w:w="625" w:type="pct"/>
            <w:hideMark/>
          </w:tcPr>
          <w:p w14:paraId="3176405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lastRenderedPageBreak/>
              <w:t>Waghorn 2014, Australia</w:t>
            </w:r>
            <w:r w:rsidR="00EC725D" w:rsidRPr="00584BCB">
              <w:rPr>
                <w:rFonts w:ascii="Rubik" w:hAnsi="Rubik"/>
                <w:color w:val="000000" w:themeColor="text1"/>
                <w:szCs w:val="20"/>
              </w:rPr>
              <w:t xml:space="preserve">, </w:t>
            </w:r>
          </w:p>
          <w:p w14:paraId="22041D08" w14:textId="3B8AE65F" w:rsidR="00EC725D" w:rsidRPr="00584BCB" w:rsidRDefault="00EC725D" w:rsidP="00BD1825">
            <w:pPr>
              <w:rPr>
                <w:rFonts w:ascii="Rubik" w:hAnsi="Rubik"/>
                <w:color w:val="000000" w:themeColor="text1"/>
                <w:szCs w:val="20"/>
              </w:rPr>
            </w:pPr>
            <w:r w:rsidRPr="00584BCB">
              <w:rPr>
                <w:rFonts w:ascii="Rubik" w:hAnsi="Rubik"/>
                <w:color w:val="000000" w:themeColor="text1"/>
                <w:szCs w:val="20"/>
              </w:rPr>
              <w:t>IPS vs Non-integrated forms of vocational programs</w:t>
            </w:r>
          </w:p>
        </w:tc>
        <w:tc>
          <w:tcPr>
            <w:tcW w:w="625" w:type="pct"/>
            <w:hideMark/>
          </w:tcPr>
          <w:p w14:paraId="12DA89C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208 (102/106)</w:t>
            </w:r>
          </w:p>
        </w:tc>
        <w:tc>
          <w:tcPr>
            <w:tcW w:w="625" w:type="pct"/>
            <w:hideMark/>
          </w:tcPr>
          <w:p w14:paraId="64E3A6C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69.2</w:t>
            </w:r>
          </w:p>
        </w:tc>
        <w:tc>
          <w:tcPr>
            <w:tcW w:w="625" w:type="pct"/>
          </w:tcPr>
          <w:p w14:paraId="0C80F45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18-59</w:t>
            </w:r>
          </w:p>
        </w:tc>
        <w:tc>
          <w:tcPr>
            <w:tcW w:w="625" w:type="pct"/>
            <w:hideMark/>
          </w:tcPr>
          <w:p w14:paraId="4A2A3FE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51E1CD9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32.8 (8.9)</w:t>
            </w:r>
          </w:p>
          <w:p w14:paraId="5E9909C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32.0 (8.9)</w:t>
            </w:r>
          </w:p>
        </w:tc>
        <w:tc>
          <w:tcPr>
            <w:tcW w:w="625" w:type="pct"/>
            <w:hideMark/>
          </w:tcPr>
          <w:p w14:paraId="7151AB9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80.8 Psychotic disorder, 8.2 Bipolar affective disorder, 6.3 Major depression or anxiety disorder</w:t>
            </w:r>
          </w:p>
          <w:p w14:paraId="15AA4639" w14:textId="77777777" w:rsidR="007D71E0" w:rsidRPr="00584BCB" w:rsidRDefault="007D71E0" w:rsidP="00BD1825">
            <w:pPr>
              <w:rPr>
                <w:rFonts w:ascii="Rubik" w:hAnsi="Rubik"/>
                <w:color w:val="000000" w:themeColor="text1"/>
                <w:szCs w:val="20"/>
              </w:rPr>
            </w:pPr>
          </w:p>
          <w:p w14:paraId="0C97AAA7" w14:textId="77777777" w:rsidR="007D71E0" w:rsidRPr="00584BCB" w:rsidRDefault="007D71E0" w:rsidP="00BD1825">
            <w:pPr>
              <w:rPr>
                <w:rFonts w:ascii="Rubik" w:hAnsi="Rubik"/>
                <w:color w:val="000000" w:themeColor="text1"/>
                <w:szCs w:val="20"/>
              </w:rPr>
            </w:pPr>
          </w:p>
          <w:p w14:paraId="3019BF30" w14:textId="4054B45A" w:rsidR="007D71E0" w:rsidRPr="00584BCB" w:rsidRDefault="007D71E0" w:rsidP="00BD1825">
            <w:pPr>
              <w:rPr>
                <w:rFonts w:ascii="Rubik" w:hAnsi="Rubik"/>
                <w:color w:val="000000" w:themeColor="text1"/>
                <w:szCs w:val="20"/>
              </w:rPr>
            </w:pPr>
          </w:p>
        </w:tc>
        <w:tc>
          <w:tcPr>
            <w:tcW w:w="625" w:type="pct"/>
            <w:hideMark/>
          </w:tcPr>
          <w:p w14:paraId="66C8536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Not employed within the previous three months</w:t>
            </w:r>
          </w:p>
        </w:tc>
        <w:tc>
          <w:tcPr>
            <w:tcW w:w="625" w:type="pct"/>
          </w:tcPr>
          <w:p w14:paraId="2E3379E5"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Attempted to contact, email failed</w:t>
            </w:r>
          </w:p>
        </w:tc>
      </w:tr>
      <w:tr w:rsidR="00584BCB" w:rsidRPr="00584BCB" w14:paraId="58843BC6" w14:textId="77777777" w:rsidTr="00CB3780">
        <w:trPr>
          <w:trHeight w:val="575"/>
        </w:trPr>
        <w:tc>
          <w:tcPr>
            <w:tcW w:w="625" w:type="pct"/>
            <w:hideMark/>
          </w:tcPr>
          <w:p w14:paraId="21285C5D" w14:textId="77777777" w:rsidR="00EC725D" w:rsidRPr="00584BCB" w:rsidRDefault="00BD1825" w:rsidP="00BD1825">
            <w:pPr>
              <w:rPr>
                <w:rFonts w:ascii="Rubik" w:hAnsi="Rubik"/>
                <w:color w:val="000000" w:themeColor="text1"/>
                <w:szCs w:val="20"/>
              </w:rPr>
            </w:pPr>
            <w:r w:rsidRPr="00584BCB">
              <w:rPr>
                <w:rFonts w:ascii="Rubik" w:hAnsi="Rubik"/>
                <w:color w:val="000000" w:themeColor="text1"/>
                <w:szCs w:val="20"/>
              </w:rPr>
              <w:t>Yamaguchi 2017, Japan</w:t>
            </w:r>
            <w:r w:rsidR="00EC725D" w:rsidRPr="00584BCB">
              <w:rPr>
                <w:rFonts w:ascii="Rubik" w:hAnsi="Rubik"/>
                <w:color w:val="000000" w:themeColor="text1"/>
                <w:szCs w:val="20"/>
              </w:rPr>
              <w:t xml:space="preserve">, </w:t>
            </w:r>
          </w:p>
          <w:p w14:paraId="06BF6233" w14:textId="3CD4B026" w:rsidR="00BD1825" w:rsidRPr="00584BCB" w:rsidRDefault="00EC725D" w:rsidP="00BD1825">
            <w:pPr>
              <w:rPr>
                <w:rFonts w:ascii="Rubik" w:hAnsi="Rubik"/>
                <w:color w:val="000000" w:themeColor="text1"/>
                <w:szCs w:val="20"/>
              </w:rPr>
            </w:pPr>
            <w:r w:rsidRPr="00584BCB">
              <w:rPr>
                <w:rFonts w:ascii="Rubik" w:hAnsi="Rubik"/>
                <w:color w:val="000000" w:themeColor="text1"/>
                <w:szCs w:val="20"/>
              </w:rPr>
              <w:t>Cognitive remediation and vocational program vs TVR</w:t>
            </w:r>
          </w:p>
        </w:tc>
        <w:tc>
          <w:tcPr>
            <w:tcW w:w="625" w:type="pct"/>
            <w:hideMark/>
          </w:tcPr>
          <w:p w14:paraId="7726E23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111 (54/57)</w:t>
            </w:r>
          </w:p>
        </w:tc>
        <w:tc>
          <w:tcPr>
            <w:tcW w:w="625" w:type="pct"/>
            <w:hideMark/>
          </w:tcPr>
          <w:p w14:paraId="29C05D5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62.0</w:t>
            </w:r>
          </w:p>
        </w:tc>
        <w:tc>
          <w:tcPr>
            <w:tcW w:w="625" w:type="pct"/>
          </w:tcPr>
          <w:p w14:paraId="53C905C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20–45</w:t>
            </w:r>
          </w:p>
        </w:tc>
        <w:tc>
          <w:tcPr>
            <w:tcW w:w="625" w:type="pct"/>
            <w:hideMark/>
          </w:tcPr>
          <w:p w14:paraId="61F082B4" w14:textId="49E7D4FE"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Total: </w:t>
            </w:r>
            <w:r w:rsidR="00D50325" w:rsidRPr="00584BCB">
              <w:rPr>
                <w:rFonts w:ascii="Rubik" w:hAnsi="Rubik"/>
                <w:color w:val="000000" w:themeColor="text1"/>
                <w:szCs w:val="20"/>
              </w:rPr>
              <w:t>35 (</w:t>
            </w:r>
            <w:r w:rsidRPr="00584BCB">
              <w:rPr>
                <w:rFonts w:ascii="Rubik" w:hAnsi="Rubik"/>
                <w:color w:val="000000" w:themeColor="text1"/>
                <w:szCs w:val="20"/>
              </w:rPr>
              <w:t>SD NR)</w:t>
            </w:r>
          </w:p>
          <w:p w14:paraId="62D32F8C"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34.5 (6.8)</w:t>
            </w:r>
          </w:p>
          <w:p w14:paraId="5AD3E6D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34.8 (7.1)</w:t>
            </w:r>
          </w:p>
        </w:tc>
        <w:tc>
          <w:tcPr>
            <w:tcW w:w="625" w:type="pct"/>
            <w:hideMark/>
          </w:tcPr>
          <w:p w14:paraId="0E4CF120" w14:textId="3FB1C015"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87.0</w:t>
            </w:r>
            <w:r w:rsidR="00D50325" w:rsidRPr="00584BCB">
              <w:rPr>
                <w:rFonts w:ascii="Rubik" w:hAnsi="Rubik"/>
                <w:color w:val="000000" w:themeColor="text1"/>
                <w:szCs w:val="20"/>
              </w:rPr>
              <w:t>% schizophrenia</w:t>
            </w:r>
            <w:r w:rsidRPr="00584BCB">
              <w:rPr>
                <w:rFonts w:ascii="Rubik" w:hAnsi="Rubik"/>
                <w:color w:val="000000" w:themeColor="text1"/>
                <w:szCs w:val="20"/>
              </w:rPr>
              <w:t>, 7.6% major depression or 5.4% bipolar disorder</w:t>
            </w:r>
          </w:p>
        </w:tc>
        <w:tc>
          <w:tcPr>
            <w:tcW w:w="625" w:type="pct"/>
            <w:hideMark/>
          </w:tcPr>
          <w:p w14:paraId="38CB129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625" w:type="pct"/>
          </w:tcPr>
          <w:p w14:paraId="619627DD" w14:textId="77777777" w:rsidR="00BD1825" w:rsidRPr="00584BCB" w:rsidRDefault="00BD1825" w:rsidP="000B671E">
            <w:pPr>
              <w:ind w:left="59"/>
              <w:rPr>
                <w:rFonts w:ascii="Rubik" w:hAnsi="Rubik"/>
                <w:color w:val="000000" w:themeColor="text1"/>
                <w:szCs w:val="20"/>
              </w:rPr>
            </w:pPr>
            <w:r w:rsidRPr="00584BCB">
              <w:rPr>
                <w:rFonts w:ascii="Rubik" w:hAnsi="Rubik"/>
                <w:color w:val="000000" w:themeColor="text1"/>
                <w:szCs w:val="20"/>
              </w:rPr>
              <w:t>Contacted, authors responded</w:t>
            </w:r>
          </w:p>
        </w:tc>
      </w:tr>
    </w:tbl>
    <w:p w14:paraId="554C9CC3" w14:textId="2BE0434B" w:rsidR="00AC31F5" w:rsidRPr="00584BCB" w:rsidRDefault="00AC31F5" w:rsidP="003C05FE">
      <w:pPr>
        <w:pStyle w:val="Caption"/>
        <w:rPr>
          <w:rFonts w:ascii="Rubik" w:hAnsi="Rubik"/>
          <w:b w:val="0"/>
          <w:color w:val="000000" w:themeColor="text1"/>
          <w:sz w:val="22"/>
          <w:szCs w:val="22"/>
        </w:rPr>
        <w:sectPr w:rsidR="00AC31F5" w:rsidRPr="00584BCB" w:rsidSect="00084C28">
          <w:headerReference w:type="default" r:id="rId16"/>
          <w:type w:val="continuous"/>
          <w:pgSz w:w="16840" w:h="11900" w:orient="landscape"/>
          <w:pgMar w:top="720" w:right="720" w:bottom="720" w:left="720" w:header="720" w:footer="720" w:gutter="0"/>
          <w:cols w:space="720"/>
          <w:titlePg/>
          <w:docGrid w:linePitch="299"/>
        </w:sectPr>
      </w:pPr>
      <w:r w:rsidRPr="00584BCB">
        <w:rPr>
          <w:rFonts w:ascii="Rubik" w:hAnsi="Rubik"/>
          <w:b w:val="0"/>
          <w:color w:val="000000" w:themeColor="text1"/>
          <w:sz w:val="22"/>
          <w:szCs w:val="22"/>
        </w:rPr>
        <w:t>NR = not reported</w:t>
      </w:r>
      <w:r w:rsidR="003C05FE" w:rsidRPr="00584BCB">
        <w:rPr>
          <w:rFonts w:ascii="Rubik" w:hAnsi="Rubik"/>
          <w:b w:val="0"/>
          <w:color w:val="000000" w:themeColor="text1"/>
          <w:sz w:val="22"/>
          <w:szCs w:val="22"/>
        </w:rPr>
        <w:t>, SD=standard deviation, ICD=</w:t>
      </w:r>
      <w:r w:rsidR="002D55AF" w:rsidRPr="00584BCB">
        <w:rPr>
          <w:rFonts w:ascii="Rubik" w:hAnsi="Rubik"/>
          <w:b w:val="0"/>
          <w:color w:val="000000" w:themeColor="text1"/>
          <w:sz w:val="22"/>
          <w:szCs w:val="22"/>
        </w:rPr>
        <w:t xml:space="preserve">international classification of disease, C=control, I=intervention, IPS=Individual </w:t>
      </w:r>
      <w:r w:rsidR="007176E0" w:rsidRPr="00584BCB">
        <w:rPr>
          <w:rFonts w:ascii="Rubik" w:hAnsi="Rubik"/>
          <w:b w:val="0"/>
          <w:color w:val="000000" w:themeColor="text1"/>
          <w:sz w:val="22"/>
          <w:szCs w:val="22"/>
        </w:rPr>
        <w:t xml:space="preserve">placement and </w:t>
      </w:r>
      <w:r w:rsidR="002D55AF" w:rsidRPr="00584BCB">
        <w:rPr>
          <w:rFonts w:ascii="Rubik" w:hAnsi="Rubik"/>
          <w:b w:val="0"/>
          <w:color w:val="000000" w:themeColor="text1"/>
          <w:sz w:val="22"/>
          <w:szCs w:val="22"/>
        </w:rPr>
        <w:t>support</w:t>
      </w:r>
      <w:r w:rsidR="00EC725D" w:rsidRPr="00584BCB">
        <w:rPr>
          <w:rFonts w:ascii="Rubik" w:hAnsi="Rubik"/>
          <w:b w:val="0"/>
          <w:color w:val="000000" w:themeColor="text1"/>
          <w:sz w:val="22"/>
          <w:szCs w:val="22"/>
        </w:rPr>
        <w:t>, TVR= traditional vocational rehabilitation</w:t>
      </w:r>
    </w:p>
    <w:p w14:paraId="70E0D706" w14:textId="568F4028" w:rsidR="00BD1825" w:rsidRPr="00584BCB" w:rsidRDefault="00BD1825" w:rsidP="72822302">
      <w:pPr>
        <w:pStyle w:val="Caption"/>
        <w:rPr>
          <w:rFonts w:ascii="Rubik" w:hAnsi="Rubik"/>
          <w:bCs/>
          <w:color w:val="000000" w:themeColor="text1"/>
          <w:sz w:val="22"/>
          <w:szCs w:val="22"/>
        </w:rPr>
      </w:pPr>
      <w:r w:rsidRPr="00584BCB">
        <w:rPr>
          <w:rFonts w:ascii="Rubik" w:hAnsi="Rubik"/>
          <w:bCs/>
          <w:color w:val="000000" w:themeColor="text1"/>
          <w:sz w:val="22"/>
          <w:szCs w:val="22"/>
        </w:rPr>
        <w:lastRenderedPageBreak/>
        <w:t>Table 2. Characteristics of included studies with people with autism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2. "/>
        <w:tblDescription w:val="Characteristics of included studies with people with autism"/>
      </w:tblPr>
      <w:tblGrid>
        <w:gridCol w:w="2329"/>
        <w:gridCol w:w="1847"/>
        <w:gridCol w:w="1450"/>
        <w:gridCol w:w="856"/>
        <w:gridCol w:w="1576"/>
        <w:gridCol w:w="4152"/>
        <w:gridCol w:w="1524"/>
        <w:gridCol w:w="1656"/>
      </w:tblGrid>
      <w:tr w:rsidR="00584BCB" w:rsidRPr="00584BCB" w14:paraId="7EAE4936" w14:textId="77777777" w:rsidTr="00EE0B7F">
        <w:trPr>
          <w:cantSplit/>
          <w:tblHeader/>
        </w:trPr>
        <w:tc>
          <w:tcPr>
            <w:tcW w:w="757" w:type="pct"/>
            <w:shd w:val="clear" w:color="auto" w:fill="7EA4A4"/>
          </w:tcPr>
          <w:p w14:paraId="7CA5FDEF" w14:textId="4EE9F7FF"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Study, Country</w:t>
            </w:r>
            <w:r w:rsidR="00B21908" w:rsidRPr="00584BCB">
              <w:rPr>
                <w:rFonts w:ascii="Rubik" w:hAnsi="Rubik"/>
                <w:i/>
                <w:iCs/>
                <w:color w:val="000000" w:themeColor="text1"/>
                <w:szCs w:val="20"/>
              </w:rPr>
              <w:t>, Intervention</w:t>
            </w:r>
          </w:p>
        </w:tc>
        <w:tc>
          <w:tcPr>
            <w:tcW w:w="600" w:type="pct"/>
            <w:shd w:val="clear" w:color="auto" w:fill="7EA4A4"/>
          </w:tcPr>
          <w:p w14:paraId="070BA44D"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N total (Control/ Intervention)</w:t>
            </w:r>
          </w:p>
        </w:tc>
        <w:tc>
          <w:tcPr>
            <w:tcW w:w="471" w:type="pct"/>
            <w:shd w:val="clear" w:color="auto" w:fill="7EA4A4"/>
          </w:tcPr>
          <w:p w14:paraId="64AAD5CB"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Male participants (%)</w:t>
            </w:r>
          </w:p>
        </w:tc>
        <w:tc>
          <w:tcPr>
            <w:tcW w:w="278" w:type="pct"/>
            <w:shd w:val="clear" w:color="auto" w:fill="7EA4A4"/>
          </w:tcPr>
          <w:p w14:paraId="08D8B2F4"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 xml:space="preserve">Age range </w:t>
            </w:r>
          </w:p>
        </w:tc>
        <w:tc>
          <w:tcPr>
            <w:tcW w:w="512" w:type="pct"/>
            <w:shd w:val="clear" w:color="auto" w:fill="7EA4A4"/>
          </w:tcPr>
          <w:p w14:paraId="7C55E4D2"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 xml:space="preserve">Mean age (SD) total, control, intervention  </w:t>
            </w:r>
          </w:p>
        </w:tc>
        <w:tc>
          <w:tcPr>
            <w:tcW w:w="1349" w:type="pct"/>
            <w:shd w:val="clear" w:color="auto" w:fill="7EA4A4"/>
          </w:tcPr>
          <w:p w14:paraId="0638569C"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Type of disability (%)</w:t>
            </w:r>
          </w:p>
        </w:tc>
        <w:tc>
          <w:tcPr>
            <w:tcW w:w="495" w:type="pct"/>
            <w:shd w:val="clear" w:color="auto" w:fill="7EA4A4"/>
          </w:tcPr>
          <w:p w14:paraId="3A5F5E23"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Employment status at baseline</w:t>
            </w:r>
          </w:p>
        </w:tc>
        <w:tc>
          <w:tcPr>
            <w:tcW w:w="539" w:type="pct"/>
            <w:shd w:val="clear" w:color="auto" w:fill="7EA4A4"/>
          </w:tcPr>
          <w:p w14:paraId="77AB38C8"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Authors contacted for further information</w:t>
            </w:r>
          </w:p>
        </w:tc>
      </w:tr>
      <w:tr w:rsidR="00584BCB" w:rsidRPr="00584BCB" w14:paraId="32FC29C6" w14:textId="77777777" w:rsidTr="008C503C">
        <w:tc>
          <w:tcPr>
            <w:tcW w:w="757" w:type="pct"/>
          </w:tcPr>
          <w:p w14:paraId="26CD5AB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Wehman 2014, USA</w:t>
            </w:r>
            <w:r w:rsidR="00B21908" w:rsidRPr="00584BCB">
              <w:rPr>
                <w:rFonts w:ascii="Rubik" w:hAnsi="Rubik"/>
                <w:color w:val="000000" w:themeColor="text1"/>
                <w:szCs w:val="20"/>
              </w:rPr>
              <w:t xml:space="preserve">, </w:t>
            </w:r>
          </w:p>
          <w:p w14:paraId="7F3BA6DB" w14:textId="635FACB7" w:rsidR="00B21908" w:rsidRPr="00584BCB" w:rsidRDefault="00B21908" w:rsidP="00BD1825">
            <w:pPr>
              <w:rPr>
                <w:rFonts w:ascii="Rubik" w:hAnsi="Rubik"/>
                <w:color w:val="000000" w:themeColor="text1"/>
                <w:szCs w:val="20"/>
              </w:rPr>
            </w:pPr>
            <w:r w:rsidRPr="00584BCB">
              <w:rPr>
                <w:rFonts w:ascii="Rubik" w:hAnsi="Rubik"/>
                <w:color w:val="000000" w:themeColor="text1"/>
                <w:szCs w:val="20"/>
              </w:rPr>
              <w:t xml:space="preserve">Project SEARCH plus ASD Supports vs. High school special education services </w:t>
            </w:r>
          </w:p>
        </w:tc>
        <w:tc>
          <w:tcPr>
            <w:tcW w:w="600" w:type="pct"/>
          </w:tcPr>
          <w:p w14:paraId="2E7D24B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44 (20/24) </w:t>
            </w:r>
          </w:p>
          <w:p w14:paraId="11F6050E"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4 assigned to control group dropped out prior to study, so C= 16.</w:t>
            </w:r>
          </w:p>
        </w:tc>
        <w:tc>
          <w:tcPr>
            <w:tcW w:w="471" w:type="pct"/>
          </w:tcPr>
          <w:p w14:paraId="262CA0A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72.5</w:t>
            </w:r>
          </w:p>
        </w:tc>
        <w:tc>
          <w:tcPr>
            <w:tcW w:w="278" w:type="pct"/>
          </w:tcPr>
          <w:p w14:paraId="191B49A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18-21</w:t>
            </w:r>
          </w:p>
        </w:tc>
        <w:tc>
          <w:tcPr>
            <w:tcW w:w="512" w:type="pct"/>
          </w:tcPr>
          <w:p w14:paraId="46E6887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150DA7B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19.1 (1.1)</w:t>
            </w:r>
          </w:p>
          <w:p w14:paraId="47E85F6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20.0 (1.1)</w:t>
            </w:r>
          </w:p>
        </w:tc>
        <w:tc>
          <w:tcPr>
            <w:tcW w:w="1349" w:type="pct"/>
          </w:tcPr>
          <w:p w14:paraId="38A04A7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Autism (ASD diagnosis and/or educational eligibility of Autism)</w:t>
            </w:r>
          </w:p>
        </w:tc>
        <w:tc>
          <w:tcPr>
            <w:tcW w:w="495" w:type="pct"/>
          </w:tcPr>
          <w:p w14:paraId="785631A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539" w:type="pct"/>
          </w:tcPr>
          <w:p w14:paraId="1DBB3C1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3CF9EF50" w14:textId="77777777" w:rsidTr="008C503C">
        <w:tc>
          <w:tcPr>
            <w:tcW w:w="757" w:type="pct"/>
          </w:tcPr>
          <w:p w14:paraId="6CFF7B47"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Wehman 2020, USA</w:t>
            </w:r>
            <w:r w:rsidR="00B21908" w:rsidRPr="00584BCB">
              <w:rPr>
                <w:rFonts w:ascii="Rubik" w:hAnsi="Rubik"/>
                <w:color w:val="000000" w:themeColor="text1"/>
                <w:szCs w:val="20"/>
              </w:rPr>
              <w:t xml:space="preserve">, </w:t>
            </w:r>
          </w:p>
          <w:p w14:paraId="0EDB635B" w14:textId="2029547F" w:rsidR="00B21908" w:rsidRPr="00584BCB" w:rsidRDefault="00B21908" w:rsidP="00BD1825">
            <w:pPr>
              <w:rPr>
                <w:rFonts w:ascii="Rubik" w:hAnsi="Rubik"/>
                <w:color w:val="000000" w:themeColor="text1"/>
                <w:szCs w:val="20"/>
              </w:rPr>
            </w:pPr>
            <w:r w:rsidRPr="00584BCB">
              <w:rPr>
                <w:rFonts w:ascii="Rubik" w:hAnsi="Rubik"/>
                <w:color w:val="000000" w:themeColor="text1"/>
                <w:szCs w:val="20"/>
              </w:rPr>
              <w:t>Project SEARCH plus ASD Supports vs. High school special education services</w:t>
            </w:r>
          </w:p>
        </w:tc>
        <w:tc>
          <w:tcPr>
            <w:tcW w:w="600" w:type="pct"/>
          </w:tcPr>
          <w:p w14:paraId="117F460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156 (75/81)</w:t>
            </w:r>
          </w:p>
        </w:tc>
        <w:tc>
          <w:tcPr>
            <w:tcW w:w="471" w:type="pct"/>
          </w:tcPr>
          <w:p w14:paraId="5AAEDF5F"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76.0</w:t>
            </w:r>
          </w:p>
        </w:tc>
        <w:tc>
          <w:tcPr>
            <w:tcW w:w="278" w:type="pct"/>
          </w:tcPr>
          <w:p w14:paraId="01BC356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18–21</w:t>
            </w:r>
          </w:p>
        </w:tc>
        <w:tc>
          <w:tcPr>
            <w:tcW w:w="512" w:type="pct"/>
          </w:tcPr>
          <w:p w14:paraId="2C587300"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584099A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19.5 (1.2)</w:t>
            </w:r>
          </w:p>
          <w:p w14:paraId="41534D32"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19.8 (1.1)</w:t>
            </w:r>
          </w:p>
        </w:tc>
        <w:tc>
          <w:tcPr>
            <w:tcW w:w="1349" w:type="pct"/>
          </w:tcPr>
          <w:p w14:paraId="33C5537A"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Autism</w:t>
            </w:r>
          </w:p>
        </w:tc>
        <w:tc>
          <w:tcPr>
            <w:tcW w:w="495" w:type="pct"/>
          </w:tcPr>
          <w:p w14:paraId="342040C5"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Unemployed </w:t>
            </w:r>
          </w:p>
        </w:tc>
        <w:tc>
          <w:tcPr>
            <w:tcW w:w="539" w:type="pct"/>
          </w:tcPr>
          <w:p w14:paraId="54618A0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Contacted, no response</w:t>
            </w:r>
          </w:p>
        </w:tc>
      </w:tr>
      <w:tr w:rsidR="00584BCB" w:rsidRPr="00584BCB" w14:paraId="1E2DAB6A" w14:textId="77777777" w:rsidTr="008C503C">
        <w:tc>
          <w:tcPr>
            <w:tcW w:w="757" w:type="pct"/>
          </w:tcPr>
          <w:p w14:paraId="51B88D3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Whittenburg 020, USA</w:t>
            </w:r>
            <w:r w:rsidR="00B21908" w:rsidRPr="00584BCB">
              <w:rPr>
                <w:rFonts w:ascii="Rubik" w:hAnsi="Rubik"/>
                <w:color w:val="000000" w:themeColor="text1"/>
                <w:szCs w:val="20"/>
              </w:rPr>
              <w:t xml:space="preserve">, </w:t>
            </w:r>
          </w:p>
          <w:p w14:paraId="5B5E9AB1" w14:textId="300DF45C" w:rsidR="00B21908" w:rsidRPr="00584BCB" w:rsidRDefault="00B21908" w:rsidP="00BD1825">
            <w:pPr>
              <w:rPr>
                <w:rFonts w:ascii="Rubik" w:hAnsi="Rubik"/>
                <w:color w:val="000000" w:themeColor="text1"/>
                <w:szCs w:val="20"/>
              </w:rPr>
            </w:pPr>
            <w:r w:rsidRPr="00584BCB">
              <w:rPr>
                <w:rFonts w:ascii="Rubik" w:hAnsi="Rubik"/>
                <w:color w:val="000000" w:themeColor="text1"/>
                <w:szCs w:val="20"/>
              </w:rPr>
              <w:t>Project SEARCH plus ASD Supports vs. High school special education services</w:t>
            </w:r>
          </w:p>
        </w:tc>
        <w:tc>
          <w:tcPr>
            <w:tcW w:w="600" w:type="pct"/>
          </w:tcPr>
          <w:p w14:paraId="57614ED8"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14 (8/6)</w:t>
            </w:r>
          </w:p>
        </w:tc>
        <w:tc>
          <w:tcPr>
            <w:tcW w:w="471" w:type="pct"/>
          </w:tcPr>
          <w:p w14:paraId="4B1A867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78.6</w:t>
            </w:r>
          </w:p>
        </w:tc>
        <w:tc>
          <w:tcPr>
            <w:tcW w:w="278" w:type="pct"/>
          </w:tcPr>
          <w:p w14:paraId="53A46BF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18-21</w:t>
            </w:r>
          </w:p>
        </w:tc>
        <w:tc>
          <w:tcPr>
            <w:tcW w:w="512" w:type="pct"/>
          </w:tcPr>
          <w:p w14:paraId="65CE2D61"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Total: NR</w:t>
            </w:r>
          </w:p>
          <w:p w14:paraId="31AFD5DB"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 NR</w:t>
            </w:r>
          </w:p>
          <w:p w14:paraId="41ABF073"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I: NR</w:t>
            </w:r>
          </w:p>
        </w:tc>
        <w:tc>
          <w:tcPr>
            <w:tcW w:w="1349" w:type="pct"/>
          </w:tcPr>
          <w:p w14:paraId="7C3446F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Autism. Participants with comorbid intellectual disability and/or mental health disorders were included. </w:t>
            </w:r>
          </w:p>
        </w:tc>
        <w:tc>
          <w:tcPr>
            <w:tcW w:w="495" w:type="pct"/>
          </w:tcPr>
          <w:p w14:paraId="7C934DB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Unemployed</w:t>
            </w:r>
          </w:p>
        </w:tc>
        <w:tc>
          <w:tcPr>
            <w:tcW w:w="539" w:type="pct"/>
          </w:tcPr>
          <w:p w14:paraId="3A1A4DF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Contacted, authors responded</w:t>
            </w:r>
          </w:p>
        </w:tc>
      </w:tr>
    </w:tbl>
    <w:p w14:paraId="61E7895F" w14:textId="77777777" w:rsidR="00C733E3" w:rsidRPr="00584BCB" w:rsidRDefault="003A0D35" w:rsidP="00C733E3">
      <w:pPr>
        <w:pStyle w:val="Caption"/>
        <w:rPr>
          <w:rFonts w:ascii="Rubik" w:hAnsi="Rubik"/>
          <w:b w:val="0"/>
          <w:color w:val="000000" w:themeColor="text1"/>
          <w:sz w:val="22"/>
          <w:szCs w:val="22"/>
        </w:rPr>
      </w:pPr>
      <w:r w:rsidRPr="00584BCB">
        <w:rPr>
          <w:rFonts w:ascii="Rubik" w:hAnsi="Rubik"/>
          <w:b w:val="0"/>
          <w:color w:val="000000" w:themeColor="text1"/>
          <w:sz w:val="22"/>
          <w:szCs w:val="22"/>
        </w:rPr>
        <w:t xml:space="preserve">NR = not reported, SD=standard deviation, C=control, I=intervention, </w:t>
      </w:r>
      <w:r w:rsidR="00B931CE" w:rsidRPr="00584BCB">
        <w:rPr>
          <w:rFonts w:ascii="Rubik" w:hAnsi="Rubik"/>
          <w:b w:val="0"/>
          <w:color w:val="000000" w:themeColor="text1"/>
          <w:sz w:val="22"/>
          <w:szCs w:val="22"/>
        </w:rPr>
        <w:t>ASD=autism spectrum disorder</w:t>
      </w:r>
    </w:p>
    <w:p w14:paraId="04468245" w14:textId="77777777" w:rsidR="008A031E" w:rsidRPr="00584BCB" w:rsidRDefault="008A031E" w:rsidP="008A031E">
      <w:pPr>
        <w:rPr>
          <w:color w:val="000000" w:themeColor="text1"/>
        </w:rPr>
      </w:pPr>
    </w:p>
    <w:p w14:paraId="44BA0106" w14:textId="77777777" w:rsidR="008A031E" w:rsidRPr="00584BCB" w:rsidRDefault="008A031E" w:rsidP="008A031E">
      <w:pPr>
        <w:rPr>
          <w:color w:val="000000" w:themeColor="text1"/>
        </w:rPr>
      </w:pPr>
    </w:p>
    <w:p w14:paraId="2FBFEAA8" w14:textId="20004093" w:rsidR="008A031E" w:rsidRPr="00584BCB" w:rsidRDefault="008A031E" w:rsidP="008A031E">
      <w:pPr>
        <w:rPr>
          <w:color w:val="000000" w:themeColor="text1"/>
        </w:rPr>
        <w:sectPr w:rsidR="008A031E" w:rsidRPr="00584BCB" w:rsidSect="003A0D35">
          <w:pgSz w:w="16840" w:h="11900" w:orient="landscape"/>
          <w:pgMar w:top="720" w:right="720" w:bottom="720" w:left="720" w:header="720" w:footer="720" w:gutter="0"/>
          <w:cols w:space="720"/>
          <w:titlePg/>
          <w:docGrid w:linePitch="299"/>
        </w:sectPr>
      </w:pPr>
    </w:p>
    <w:p w14:paraId="035607AA" w14:textId="77777777" w:rsidR="00BD1825" w:rsidRPr="00584BCB" w:rsidRDefault="00BD1825" w:rsidP="72822302">
      <w:pPr>
        <w:pStyle w:val="Caption"/>
        <w:rPr>
          <w:rFonts w:ascii="Rubik" w:hAnsi="Rubik"/>
          <w:color w:val="000000" w:themeColor="text1"/>
          <w:sz w:val="22"/>
          <w:szCs w:val="22"/>
        </w:rPr>
      </w:pPr>
      <w:r w:rsidRPr="00584BCB">
        <w:rPr>
          <w:rFonts w:ascii="Rubik" w:hAnsi="Rubik"/>
          <w:color w:val="000000" w:themeColor="text1"/>
          <w:sz w:val="22"/>
          <w:szCs w:val="22"/>
        </w:rPr>
        <w:lastRenderedPageBreak/>
        <w:t>Table 3. Descriptions of Interventions in included studies with people with psychosocial disability</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 Table 3. "/>
        <w:tblDescription w:val="This table is a description of interventions in included studies with people with psychosocial disability.&#10;"/>
      </w:tblPr>
      <w:tblGrid>
        <w:gridCol w:w="1153"/>
        <w:gridCol w:w="7154"/>
        <w:gridCol w:w="7083"/>
      </w:tblGrid>
      <w:tr w:rsidR="00584BCB" w:rsidRPr="00584BCB" w14:paraId="40A4C1C0" w14:textId="77777777" w:rsidTr="00EE0B7F">
        <w:trPr>
          <w:cantSplit/>
          <w:tblHeader/>
        </w:trPr>
        <w:tc>
          <w:tcPr>
            <w:tcW w:w="0" w:type="auto"/>
            <w:shd w:val="clear" w:color="auto" w:fill="7EA4A4"/>
            <w:noWrap/>
            <w:hideMark/>
          </w:tcPr>
          <w:p w14:paraId="1670A55B" w14:textId="77777777" w:rsidR="00BD1825" w:rsidRPr="00584BCB" w:rsidRDefault="00BD1825" w:rsidP="6766AC61">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7A84480E" w14:textId="77777777" w:rsidR="00BD1825" w:rsidRPr="00584BCB" w:rsidRDefault="00BD1825" w:rsidP="6766AC61">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3FCD4389" w14:textId="77777777" w:rsidR="00BD1825" w:rsidRPr="00584BCB" w:rsidRDefault="00BD1825" w:rsidP="6766AC61">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0BE3DED3" w14:textId="77777777" w:rsidTr="00EE0B7F">
        <w:trPr>
          <w:cantSplit/>
          <w:tblHeader/>
        </w:trPr>
        <w:tc>
          <w:tcPr>
            <w:tcW w:w="0" w:type="auto"/>
            <w:hideMark/>
          </w:tcPr>
          <w:p w14:paraId="0BA9BA9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Bejerholm 2015</w:t>
            </w:r>
          </w:p>
        </w:tc>
        <w:tc>
          <w:tcPr>
            <w:tcW w:w="0" w:type="auto"/>
            <w:hideMark/>
          </w:tcPr>
          <w:p w14:paraId="0967220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to excellent IPS fidelity) </w:t>
            </w:r>
          </w:p>
          <w:p w14:paraId="5490EF6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is characterised by eight principles: (1) focus on open employment outcomes, (2) open to anyone who wants to work (3) client preferences guide decisions, (4) rapid job search, (5) systematic job development, (6) time-unlimited individualised supports, (7) integrated with mental health teams, and (8) benefits counselling.</w:t>
            </w:r>
          </w:p>
          <w:p w14:paraId="573C6D1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Three employment specialists were recruited, with a caseload ratio of 20 participants per 1 fulltime employment specialist.</w:t>
            </w:r>
          </w:p>
        </w:tc>
        <w:tc>
          <w:tcPr>
            <w:tcW w:w="0" w:type="auto"/>
          </w:tcPr>
          <w:p w14:paraId="4431500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Traditional vocational rehabilitation</w:t>
            </w:r>
          </w:p>
          <w:p w14:paraId="32D76253" w14:textId="06AE20EF"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'Train-place' vocational services, which commonly involve prevocational training in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settings in a stepwise manner. Services ranged from individual rehabilitation support from a team member in the mental healthcare service, municipality-run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or day centre activities and prevocational training, joint co-operation of vocational service in the Social Insurance Agency/ Public Employment Service, and support from either the Public Employment Service or the Social Insurance Agency. Some participants enrolled themselves in Fountain House (clubhouse) activities. None of the services were delivering IPS according to the Supported Employment Fidelity Scale</w:t>
            </w:r>
            <w:r w:rsidR="00276E74" w:rsidRPr="00584BCB">
              <w:rPr>
                <w:rFonts w:ascii="Rubik" w:hAnsi="Rubik"/>
                <w:color w:val="000000" w:themeColor="text1"/>
                <w:sz w:val="18"/>
                <w:szCs w:val="18"/>
              </w:rPr>
              <w:t xml:space="preserve"> </w:t>
            </w:r>
            <w:r w:rsidR="00276E74" w:rsidRPr="00584BCB">
              <w:rPr>
                <w:rFonts w:ascii="Rubik" w:hAnsi="Rubik" w:cs="Rubik Light" w:hint="cs"/>
                <w:color w:val="000000" w:themeColor="text1"/>
                <w:sz w:val="18"/>
                <w:szCs w:val="18"/>
                <w:lang w:val="en-US"/>
              </w:rPr>
              <w:t>(which captures the fidelity of vocational programs).</w:t>
            </w:r>
          </w:p>
        </w:tc>
      </w:tr>
      <w:tr w:rsidR="00584BCB" w:rsidRPr="00584BCB" w14:paraId="2CB0E165" w14:textId="77777777" w:rsidTr="00EE0B7F">
        <w:trPr>
          <w:cantSplit/>
          <w:tblHeader/>
        </w:trPr>
        <w:tc>
          <w:tcPr>
            <w:tcW w:w="0" w:type="auto"/>
            <w:hideMark/>
          </w:tcPr>
          <w:p w14:paraId="3FE801D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Bond 2015</w:t>
            </w:r>
          </w:p>
        </w:tc>
        <w:tc>
          <w:tcPr>
            <w:tcW w:w="0" w:type="auto"/>
            <w:hideMark/>
          </w:tcPr>
          <w:p w14:paraId="429C8AD9"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(Good IPS fidelity)</w:t>
            </w:r>
          </w:p>
          <w:p w14:paraId="0A87819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was delivered by a team of full-time employment specialists, each with a caseload of 20 participants. The employment specialists received a day-long training on criminal justice issues. IPS involved brief vocational assessment, followed by rapid job search based on participant preferences, and job development by employment specialist who offered to accompany participants to interviews. Employment specialists were the main source of support for participants. </w:t>
            </w:r>
          </w:p>
        </w:tc>
        <w:tc>
          <w:tcPr>
            <w:tcW w:w="0" w:type="auto"/>
          </w:tcPr>
          <w:p w14:paraId="0B82969C"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Work Choice (Adequate Work Choice fidelity)</w:t>
            </w:r>
          </w:p>
          <w:p w14:paraId="2BD8869C" w14:textId="6FA38786"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Work Choice is based on the job club model and tailored for people with psychiatric </w:t>
            </w:r>
            <w:r w:rsidR="000823D5" w:rsidRPr="00584BCB">
              <w:rPr>
                <w:rFonts w:ascii="Rubik" w:hAnsi="Rubik"/>
                <w:color w:val="000000" w:themeColor="text1"/>
                <w:sz w:val="18"/>
                <w:szCs w:val="18"/>
              </w:rPr>
              <w:t>disability</w:t>
            </w:r>
            <w:r w:rsidRPr="00584BCB">
              <w:rPr>
                <w:rFonts w:ascii="Rubik" w:hAnsi="Rubik"/>
                <w:color w:val="000000" w:themeColor="text1"/>
                <w:sz w:val="18"/>
                <w:szCs w:val="18"/>
              </w:rPr>
              <w:t>. It is characterised by a self-directed job search and assistance with résumé preparation, interview skills, and job leads. The curriculum included training in application procedures, job search strategies, and linkage services. Classes were scheduled weekly at two conveniently located sites. Two half-time workers staffed the program, with a caseload ratio of 40 clients per 1.0 FTE. Peer support was the main source of support for participants.</w:t>
            </w:r>
          </w:p>
        </w:tc>
      </w:tr>
      <w:tr w:rsidR="00584BCB" w:rsidRPr="00584BCB" w14:paraId="495FDE71" w14:textId="77777777" w:rsidTr="00EE0B7F">
        <w:trPr>
          <w:cantSplit/>
          <w:tblHeader/>
        </w:trPr>
        <w:tc>
          <w:tcPr>
            <w:tcW w:w="0" w:type="auto"/>
            <w:hideMark/>
          </w:tcPr>
          <w:p w14:paraId="18C3A78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Craig 2014</w:t>
            </w:r>
          </w:p>
        </w:tc>
        <w:tc>
          <w:tcPr>
            <w:tcW w:w="0" w:type="auto"/>
            <w:hideMark/>
          </w:tcPr>
          <w:p w14:paraId="24FF871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and motivational interviewing (Good to exemplary IPS fidelity)</w:t>
            </w:r>
          </w:p>
          <w:p w14:paraId="79EF5AE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Care coordinators received motivational interviewing training from recognised experts. The training aimed to provide clinicians with a clear understanding of issues such as intrinsic motivation, ambivalence and readiness to change, as well as how to influence conversations, recognise appropriate times to use motivational interviewing and feel confident in the use of motivational interviewing in everyday practice. </w:t>
            </w:r>
          </w:p>
        </w:tc>
        <w:tc>
          <w:tcPr>
            <w:tcW w:w="0" w:type="auto"/>
          </w:tcPr>
          <w:p w14:paraId="6E7EEA97"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only (Good to exemplary IPS fidelity)</w:t>
            </w:r>
          </w:p>
          <w:p w14:paraId="15FA962C"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The employment specialists were trained to deliver IPS.</w:t>
            </w:r>
          </w:p>
        </w:tc>
      </w:tr>
    </w:tbl>
    <w:p w14:paraId="7A8BFEB6" w14:textId="77777777" w:rsidR="00526F46" w:rsidRPr="00584BCB" w:rsidRDefault="00526F46">
      <w:pPr>
        <w:rPr>
          <w:color w:val="000000" w:themeColor="text1"/>
        </w:rPr>
      </w:pPr>
    </w:p>
    <w:p w14:paraId="01B09974" w14:textId="77777777" w:rsidR="000C475B" w:rsidRPr="00584BCB" w:rsidRDefault="000C475B">
      <w:pPr>
        <w:rPr>
          <w:color w:val="000000" w:themeColor="text1"/>
        </w:rPr>
      </w:pPr>
    </w:p>
    <w:p w14:paraId="1F87696D" w14:textId="77777777" w:rsidR="008D7089" w:rsidRPr="00584BCB" w:rsidRDefault="008D7089">
      <w:pPr>
        <w:spacing w:after="160" w:line="259" w:lineRule="auto"/>
        <w:rPr>
          <w:rFonts w:ascii="Rubik" w:hAnsi="Rubik"/>
          <w:b/>
          <w:iCs/>
          <w:color w:val="000000" w:themeColor="text1"/>
          <w:sz w:val="22"/>
        </w:rPr>
      </w:pPr>
      <w:r w:rsidRPr="00584BCB">
        <w:rPr>
          <w:rFonts w:ascii="Rubik" w:hAnsi="Rubik"/>
          <w:color w:val="000000" w:themeColor="text1"/>
          <w:sz w:val="22"/>
        </w:rPr>
        <w:br w:type="page"/>
      </w:r>
    </w:p>
    <w:p w14:paraId="44F0420D" w14:textId="7B8B068E" w:rsidR="000C475B" w:rsidRPr="00584BCB" w:rsidRDefault="000C475B" w:rsidP="009340DA">
      <w:pPr>
        <w:pStyle w:val="Caption"/>
        <w:rPr>
          <w:color w:val="000000" w:themeColor="text1"/>
          <w:sz w:val="22"/>
          <w:szCs w:val="22"/>
        </w:rPr>
      </w:pPr>
      <w:r w:rsidRPr="00584BCB">
        <w:rPr>
          <w:rFonts w:ascii="Rubik" w:hAnsi="Rubik"/>
          <w:color w:val="000000" w:themeColor="text1"/>
          <w:sz w:val="22"/>
          <w:szCs w:val="22"/>
        </w:rPr>
        <w:lastRenderedPageBreak/>
        <w:t>Table 3. Descriptions of Interventions in included studies with people with psychosocial disability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028"/>
        <w:gridCol w:w="7067"/>
        <w:gridCol w:w="7295"/>
      </w:tblGrid>
      <w:tr w:rsidR="00584BCB" w:rsidRPr="00584BCB" w14:paraId="367C93A3" w14:textId="77777777" w:rsidTr="00BF49AC">
        <w:trPr>
          <w:tblHeader/>
        </w:trPr>
        <w:tc>
          <w:tcPr>
            <w:tcW w:w="0" w:type="auto"/>
            <w:shd w:val="clear" w:color="auto" w:fill="7EA4A4"/>
            <w:noWrap/>
            <w:hideMark/>
          </w:tcPr>
          <w:p w14:paraId="4D5CA06E"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75836F21"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4E4B36A7"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7E2A1037" w14:textId="77777777" w:rsidTr="00526F46">
        <w:tc>
          <w:tcPr>
            <w:tcW w:w="0" w:type="auto"/>
            <w:hideMark/>
          </w:tcPr>
          <w:p w14:paraId="7DE5615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Davis 2012</w:t>
            </w:r>
          </w:p>
        </w:tc>
        <w:tc>
          <w:tcPr>
            <w:tcW w:w="0" w:type="auto"/>
            <w:hideMark/>
          </w:tcPr>
          <w:p w14:paraId="63D3A9E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(Fair IPS fidelity)</w:t>
            </w:r>
          </w:p>
          <w:p w14:paraId="4A2A13C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The principles of IPS were followed.</w:t>
            </w:r>
          </w:p>
        </w:tc>
        <w:tc>
          <w:tcPr>
            <w:tcW w:w="0" w:type="auto"/>
          </w:tcPr>
          <w:p w14:paraId="4B44B139"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Veteran Affairs Vocational Rehabilitation Program</w:t>
            </w:r>
          </w:p>
          <w:p w14:paraId="254FB6F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This variable time-limited service included at least one of the following: (1) routine prevocational testing and evaluation for all referred participants, (2) vocational rehabilitation therapy that provided a work regimen with monetary incentives derived from contracts whereby participants are paid on a piece-rate basis related to their production, and (3) a transitional work program that included a temporary work experience either within the Tuscaloosa Veteran Affairs Medical Centre or in community settings and was not necessarily individualised to the participants’ preferences. This program had very little integration with the mental health treatment team. The Vocational Rehabilitation Program specialist provided support during the set-aside work experience and provided job search assistance once the work experience neared completion. There was little or no vocational assistance after open employment was obtained. The specialist had no maximum caseload. The Vocational Rehabilitation Program was consistently rated by the IPS fidelity monitor as ≤40 during the study, which is appropriate for this intervention.</w:t>
            </w:r>
          </w:p>
        </w:tc>
      </w:tr>
      <w:tr w:rsidR="00584BCB" w:rsidRPr="00584BCB" w14:paraId="564D6BDF" w14:textId="77777777" w:rsidTr="00526F46">
        <w:tc>
          <w:tcPr>
            <w:tcW w:w="0" w:type="auto"/>
            <w:hideMark/>
          </w:tcPr>
          <w:p w14:paraId="2EBD17E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Davis 2018</w:t>
            </w:r>
          </w:p>
        </w:tc>
        <w:tc>
          <w:tcPr>
            <w:tcW w:w="0" w:type="auto"/>
            <w:hideMark/>
          </w:tcPr>
          <w:p w14:paraId="274BA20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Vocational Coach </w:t>
            </w:r>
          </w:p>
          <w:p w14:paraId="1B93087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Multisystemic therapy for emerging adults vocational coaches delivered the standard skills curricula enhanced with vocational components based on participants’ desired outcomes, treatment plan and needs. Vocational domains of the curricula were prioritised above other domains. Participants were not connected to state vocational rehabilitation services</w:t>
            </w:r>
          </w:p>
        </w:tc>
        <w:tc>
          <w:tcPr>
            <w:tcW w:w="0" w:type="auto"/>
          </w:tcPr>
          <w:p w14:paraId="72B75EC4"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Standard Coach plus vocational rehabilitation </w:t>
            </w:r>
          </w:p>
          <w:p w14:paraId="7FBB7A3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Multisystemic Therapy for emerging adults standard coaches delivered standard skills curricula based on participants’ desired outcomes, treatment plan and needs. If participants were interested in employment, their coach referred them to state vocational rehabilitation services for typical vocational support.</w:t>
            </w:r>
          </w:p>
        </w:tc>
      </w:tr>
      <w:tr w:rsidR="00584BCB" w:rsidRPr="00584BCB" w14:paraId="2385F505" w14:textId="77777777" w:rsidTr="00526F46">
        <w:tc>
          <w:tcPr>
            <w:tcW w:w="0" w:type="auto"/>
            <w:hideMark/>
          </w:tcPr>
          <w:p w14:paraId="733031A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Erickson 2020</w:t>
            </w:r>
          </w:p>
        </w:tc>
        <w:tc>
          <w:tcPr>
            <w:tcW w:w="0" w:type="auto"/>
            <w:hideMark/>
          </w:tcPr>
          <w:p w14:paraId="1AED1C1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good IPS fidelity</w:t>
            </w:r>
          </w:p>
          <w:p w14:paraId="155AC11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Participants received employment support from one of two experienced vocational counsellors. Both IPS workers provided services in a range of locations, both within and outside of the mental health centres.</w:t>
            </w:r>
          </w:p>
        </w:tc>
        <w:tc>
          <w:tcPr>
            <w:tcW w:w="0" w:type="auto"/>
          </w:tcPr>
          <w:p w14:paraId="55ADA3E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Treatment as usual</w:t>
            </w:r>
          </w:p>
          <w:p w14:paraId="0175E95B"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No constraints on the use of other employment support services</w:t>
            </w:r>
          </w:p>
        </w:tc>
      </w:tr>
    </w:tbl>
    <w:p w14:paraId="5A8DEAC3" w14:textId="77777777" w:rsidR="000C475B" w:rsidRPr="00584BCB" w:rsidRDefault="000C475B">
      <w:pPr>
        <w:rPr>
          <w:color w:val="000000" w:themeColor="text1"/>
        </w:rPr>
        <w:sectPr w:rsidR="000C475B" w:rsidRPr="00584BCB" w:rsidSect="004524C0">
          <w:headerReference w:type="default" r:id="rId17"/>
          <w:pgSz w:w="16840" w:h="11900" w:orient="landscape"/>
          <w:pgMar w:top="720" w:right="720" w:bottom="720" w:left="720" w:header="720" w:footer="720" w:gutter="0"/>
          <w:cols w:space="720"/>
          <w:docGrid w:linePitch="299"/>
        </w:sectPr>
      </w:pPr>
    </w:p>
    <w:p w14:paraId="4E6946CA" w14:textId="0E56431A" w:rsidR="000C475B" w:rsidRPr="00584BCB" w:rsidRDefault="000C475B" w:rsidP="009340DA">
      <w:pPr>
        <w:pStyle w:val="Caption"/>
        <w:rPr>
          <w:color w:val="000000" w:themeColor="text1"/>
          <w:sz w:val="22"/>
          <w:szCs w:val="22"/>
        </w:rPr>
      </w:pPr>
      <w:r w:rsidRPr="00584BCB">
        <w:rPr>
          <w:rFonts w:ascii="Rubik" w:hAnsi="Rubik"/>
          <w:color w:val="000000" w:themeColor="text1"/>
          <w:sz w:val="22"/>
          <w:szCs w:val="22"/>
        </w:rPr>
        <w:lastRenderedPageBreak/>
        <w:t>Table 3. Descriptions of Interventions in included studies with people with psychosocial disability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287"/>
        <w:gridCol w:w="6781"/>
        <w:gridCol w:w="7322"/>
      </w:tblGrid>
      <w:tr w:rsidR="00584BCB" w:rsidRPr="00584BCB" w14:paraId="764D77EB" w14:textId="77777777" w:rsidTr="00BF49AC">
        <w:trPr>
          <w:tblHeader/>
        </w:trPr>
        <w:tc>
          <w:tcPr>
            <w:tcW w:w="0" w:type="auto"/>
            <w:shd w:val="clear" w:color="auto" w:fill="7EA4A4"/>
            <w:noWrap/>
            <w:hideMark/>
          </w:tcPr>
          <w:p w14:paraId="67B78247"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060DC8DF"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59DFB5C7"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41A50E99" w14:textId="77777777" w:rsidTr="00526F46">
        <w:tc>
          <w:tcPr>
            <w:tcW w:w="0" w:type="auto"/>
            <w:hideMark/>
          </w:tcPr>
          <w:p w14:paraId="651573B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Hoffmann 2012, 2014</w:t>
            </w:r>
          </w:p>
        </w:tc>
        <w:tc>
          <w:tcPr>
            <w:tcW w:w="0" w:type="auto"/>
            <w:hideMark/>
          </w:tcPr>
          <w:p w14:paraId="03043F7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Job Coach Project (good IPS fidelity) </w:t>
            </w:r>
          </w:p>
          <w:p w14:paraId="550327BF" w14:textId="48B66C2A"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The Job Coach Project of the Bern University Hospital of Psychiatry was derived from the individual placement and support model of supported employment. Modifications were made in order to improve </w:t>
            </w:r>
            <w:r w:rsidR="000C475B" w:rsidRPr="00584BCB">
              <w:rPr>
                <w:rFonts w:ascii="Rubik" w:hAnsi="Rubik"/>
                <w:color w:val="000000" w:themeColor="text1"/>
                <w:sz w:val="18"/>
                <w:szCs w:val="18"/>
              </w:rPr>
              <w:t>sustainability and</w:t>
            </w:r>
            <w:r w:rsidRPr="00584BCB">
              <w:rPr>
                <w:rFonts w:ascii="Rubik" w:hAnsi="Rubik"/>
                <w:color w:val="000000" w:themeColor="text1"/>
                <w:sz w:val="18"/>
                <w:szCs w:val="18"/>
              </w:rPr>
              <w:t xml:space="preserve"> meet the standards of the Swiss social insurance system and the needs of the Swiss labour market. Some incentives were given to employers of participants in the Job Coach Project. The Job Coach Project was staffed by employment specialists who had a maximum caseload of 15 participants. Participants were assisted by an employment specialist in a rapid job search based on their educational background, work preference, and previous work experience. Once employed, on-the-job training and support is provided to facilitate job maintenance. In the event of job loss, support and assistance are provided to obtain employment. Employment specialists </w:t>
            </w:r>
            <w:r w:rsidR="000C475B" w:rsidRPr="00584BCB">
              <w:rPr>
                <w:rFonts w:ascii="Rubik" w:hAnsi="Rubik"/>
                <w:color w:val="000000" w:themeColor="text1"/>
                <w:sz w:val="18"/>
                <w:szCs w:val="18"/>
              </w:rPr>
              <w:t>contacted</w:t>
            </w:r>
            <w:r w:rsidRPr="00584BCB">
              <w:rPr>
                <w:rFonts w:ascii="Rubik" w:hAnsi="Rubik"/>
                <w:color w:val="000000" w:themeColor="text1"/>
                <w:sz w:val="18"/>
                <w:szCs w:val="18"/>
              </w:rPr>
              <w:t xml:space="preserve"> </w:t>
            </w:r>
            <w:r w:rsidR="00EE0B7F" w:rsidRPr="00584BCB">
              <w:rPr>
                <w:rFonts w:ascii="Rubik" w:hAnsi="Rubik"/>
                <w:color w:val="000000" w:themeColor="text1"/>
                <w:sz w:val="18"/>
                <w:szCs w:val="18"/>
              </w:rPr>
              <w:t>participants at</w:t>
            </w:r>
            <w:r w:rsidR="000C475B" w:rsidRPr="00584BCB">
              <w:rPr>
                <w:rFonts w:ascii="Rubik" w:hAnsi="Rubik"/>
                <w:color w:val="000000" w:themeColor="text1"/>
                <w:sz w:val="18"/>
                <w:szCs w:val="18"/>
              </w:rPr>
              <w:t xml:space="preserve"> least once a fortnight.</w:t>
            </w:r>
          </w:p>
        </w:tc>
        <w:tc>
          <w:tcPr>
            <w:tcW w:w="0" w:type="auto"/>
          </w:tcPr>
          <w:p w14:paraId="7518A5B9"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t>
            </w:r>
          </w:p>
          <w:p w14:paraId="4D9AAB28" w14:textId="13B32D8C"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programs in Switzerland are based on a “train-place” approach. Each program participating in this study was deemed by the Federal Social Insurance Office to be the best locally available alternative for the prospective participant. All participants received prevocational training in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workshops for 6 to 12 months. If feasible, participants then completed 3 to 6 months of training in an open market job. Support ceased at the end of the traditional rehabilitation program regardless of whether the participant obtained open employment.</w:t>
            </w:r>
          </w:p>
        </w:tc>
      </w:tr>
      <w:tr w:rsidR="00584BCB" w:rsidRPr="00584BCB" w14:paraId="64B4609B" w14:textId="77777777" w:rsidTr="00526F46">
        <w:tc>
          <w:tcPr>
            <w:tcW w:w="0" w:type="auto"/>
            <w:hideMark/>
          </w:tcPr>
          <w:p w14:paraId="742DE117"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Howard 2010, Heslin 2011</w:t>
            </w:r>
          </w:p>
        </w:tc>
        <w:tc>
          <w:tcPr>
            <w:tcW w:w="0" w:type="auto"/>
            <w:shd w:val="clear" w:color="auto" w:fill="auto"/>
            <w:hideMark/>
          </w:tcPr>
          <w:p w14:paraId="1F21239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high IPS fidelity </w:t>
            </w:r>
          </w:p>
          <w:p w14:paraId="555E676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programme integrated within community mental health teams provided by a well-established not-for-profit non-governmental supported employment agency. The intervention involved linking four experienced employment specialists (two for each borough) with community mental health teams. The employment focused on rapid placement with continued follow-up support and sought to find employment opportunities that were consistent with participants’ preferences, skills and abilities. However, the integration of the IPS programme was not structural or managerial, reflecting supported employment as it is provided in the vast majority of settings in the UK, which is the current provision referred to by the UK government in its implementation of IPS.</w:t>
            </w:r>
          </w:p>
        </w:tc>
        <w:tc>
          <w:tcPr>
            <w:tcW w:w="0" w:type="auto"/>
            <w:shd w:val="clear" w:color="auto" w:fill="auto"/>
          </w:tcPr>
          <w:p w14:paraId="21B1288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Traditional vocational rehabilitation</w:t>
            </w:r>
          </w:p>
          <w:p w14:paraId="246C2AD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Local traditional vocational services consisted of existing psychosocial rehabilitation and day care programmes available in the local area. These services most commonly offered pre-employment preparation (e.g. interview skills, curriculum vitae coaching and application form practise), computers/information technology and confidence building/motivation.</w:t>
            </w:r>
          </w:p>
        </w:tc>
      </w:tr>
    </w:tbl>
    <w:p w14:paraId="36F520BA" w14:textId="77777777" w:rsidR="00526F46" w:rsidRPr="00584BCB" w:rsidRDefault="00526F46">
      <w:pPr>
        <w:rPr>
          <w:color w:val="000000" w:themeColor="text1"/>
        </w:rPr>
      </w:pPr>
    </w:p>
    <w:p w14:paraId="558D417A" w14:textId="77777777" w:rsidR="000C475B" w:rsidRPr="00584BCB" w:rsidRDefault="000C475B">
      <w:pPr>
        <w:rPr>
          <w:color w:val="000000" w:themeColor="text1"/>
        </w:rPr>
        <w:sectPr w:rsidR="000C475B" w:rsidRPr="00584BCB" w:rsidSect="004524C0">
          <w:pgSz w:w="16840" w:h="11900" w:orient="landscape"/>
          <w:pgMar w:top="720" w:right="720" w:bottom="720" w:left="720" w:header="720" w:footer="720" w:gutter="0"/>
          <w:cols w:space="720"/>
          <w:docGrid w:linePitch="299"/>
        </w:sectPr>
      </w:pPr>
    </w:p>
    <w:p w14:paraId="0ADFF1D7" w14:textId="0F81BE95" w:rsidR="000C475B" w:rsidRPr="00584BCB" w:rsidRDefault="000C475B" w:rsidP="009340DA">
      <w:pPr>
        <w:pStyle w:val="Caption"/>
        <w:rPr>
          <w:color w:val="000000" w:themeColor="text1"/>
        </w:rPr>
      </w:pPr>
      <w:r w:rsidRPr="00584BCB">
        <w:rPr>
          <w:rFonts w:ascii="Rubik" w:hAnsi="Rubik"/>
          <w:color w:val="000000" w:themeColor="text1"/>
          <w:sz w:val="22"/>
          <w:szCs w:val="22"/>
        </w:rPr>
        <w:lastRenderedPageBreak/>
        <w:t>Table 3. Descriptions of Interventions in included studies with people with psychosocial disability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045"/>
        <w:gridCol w:w="7207"/>
        <w:gridCol w:w="7138"/>
      </w:tblGrid>
      <w:tr w:rsidR="00584BCB" w:rsidRPr="00584BCB" w14:paraId="6F01FA6E" w14:textId="77777777" w:rsidTr="00BF49AC">
        <w:trPr>
          <w:tblHeader/>
        </w:trPr>
        <w:tc>
          <w:tcPr>
            <w:tcW w:w="0" w:type="auto"/>
            <w:shd w:val="clear" w:color="auto" w:fill="7EA4A4"/>
            <w:noWrap/>
            <w:hideMark/>
          </w:tcPr>
          <w:p w14:paraId="37CDA0B4"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669AF3C1"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61860F33"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7BD06327" w14:textId="77777777" w:rsidTr="00526F46">
        <w:tc>
          <w:tcPr>
            <w:tcW w:w="0" w:type="auto"/>
            <w:hideMark/>
          </w:tcPr>
          <w:p w14:paraId="76EB06B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Killackey 2019</w:t>
            </w:r>
          </w:p>
        </w:tc>
        <w:tc>
          <w:tcPr>
            <w:tcW w:w="0" w:type="auto"/>
            <w:hideMark/>
          </w:tcPr>
          <w:p w14:paraId="316E076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IPS fidelity) </w:t>
            </w:r>
          </w:p>
          <w:p w14:paraId="651EE1B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was delivered by a vocational specialist who had a background working in general and disability employment. In keeping with the IPS principles the vocational specialist was embedded as a member of the clinical team. </w:t>
            </w:r>
          </w:p>
        </w:tc>
        <w:tc>
          <w:tcPr>
            <w:tcW w:w="0" w:type="auto"/>
          </w:tcPr>
          <w:p w14:paraId="6CC7225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Referral to external government-contracted employment agencies</w:t>
            </w:r>
          </w:p>
          <w:p w14:paraId="2E7E6304"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Treatment as usual in Australia involves referral to external government-contracted employment agencies. There is typically little follow-up between mental health and employment agencies. The burden of navigating the different systems often falls on the individual. In Australia, people with a mental illness are able to opt out of any welfare-related obligation to seek employment via certification of a medical condition from their medical practitioner. </w:t>
            </w:r>
          </w:p>
          <w:p w14:paraId="41A95576" w14:textId="77777777" w:rsidR="00BD1825" w:rsidRPr="00584BCB" w:rsidRDefault="00BD1825" w:rsidP="00BD1825">
            <w:pPr>
              <w:rPr>
                <w:rFonts w:ascii="Rubik" w:hAnsi="Rubik"/>
                <w:color w:val="000000" w:themeColor="text1"/>
                <w:sz w:val="18"/>
                <w:szCs w:val="18"/>
              </w:rPr>
            </w:pPr>
          </w:p>
          <w:p w14:paraId="184074E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Note: Participants in both conditions continued to receive standard Early Psychosis Prevention and Intervention Centre treatment, including medical management and review, out-patient case management, access to Early Psychosis Prevention and Intervention Centre group programme and peer and family support.</w:t>
            </w:r>
          </w:p>
        </w:tc>
      </w:tr>
      <w:tr w:rsidR="00584BCB" w:rsidRPr="00584BCB" w14:paraId="4CB90889" w14:textId="77777777" w:rsidTr="00526F46">
        <w:tc>
          <w:tcPr>
            <w:tcW w:w="0" w:type="auto"/>
          </w:tcPr>
          <w:p w14:paraId="0478CEB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Lecomte 2020</w:t>
            </w:r>
          </w:p>
        </w:tc>
        <w:tc>
          <w:tcPr>
            <w:tcW w:w="0" w:type="auto"/>
          </w:tcPr>
          <w:p w14:paraId="299E6280" w14:textId="24867E6A"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Cognitive behaviour therapy group intervention adapted for </w:t>
            </w:r>
            <w:r w:rsidR="00EC2538" w:rsidRPr="00584BCB">
              <w:rPr>
                <w:rFonts w:ascii="Rubik" w:hAnsi="Rubik"/>
                <w:color w:val="000000" w:themeColor="text1"/>
                <w:sz w:val="18"/>
                <w:szCs w:val="18"/>
              </w:rPr>
              <w:t>vocational</w:t>
            </w:r>
            <w:r w:rsidRPr="00584BCB">
              <w:rPr>
                <w:rFonts w:ascii="Rubik" w:hAnsi="Rubik"/>
                <w:color w:val="000000" w:themeColor="text1"/>
                <w:sz w:val="18"/>
                <w:szCs w:val="18"/>
              </w:rPr>
              <w:t xml:space="preserve"> program </w:t>
            </w:r>
          </w:p>
          <w:p w14:paraId="3C35883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Participants received a maximum of eight 1-hour group sessions, twice per week for one month. Participants had their own manual that contained information on all eight sessions, as well as homework to be completed outside of the sessions. Each session was led by two co-therapists and included an average of five participants per group. Sessions usually involved review of the homework, presentation of the theme of the session, presentation of some didactic information, discussions and application to self of the material, writing relevant information to retain into one’s manual, review of the session and presentation of the homework. The last session closes with a graduation celebration. </w:t>
            </w:r>
          </w:p>
        </w:tc>
        <w:tc>
          <w:tcPr>
            <w:tcW w:w="0" w:type="auto"/>
          </w:tcPr>
          <w:p w14:paraId="6CB68269" w14:textId="70544BF5" w:rsidR="00BD1825" w:rsidRPr="00584BCB" w:rsidRDefault="00EC2538" w:rsidP="00BD1825">
            <w:pPr>
              <w:rPr>
                <w:rFonts w:ascii="Rubik" w:hAnsi="Rubik"/>
                <w:color w:val="000000" w:themeColor="text1"/>
                <w:sz w:val="18"/>
                <w:szCs w:val="18"/>
              </w:rPr>
            </w:pPr>
            <w:r w:rsidRPr="00584BCB">
              <w:rPr>
                <w:rFonts w:ascii="Rubik" w:hAnsi="Rubik"/>
                <w:color w:val="000000" w:themeColor="text1"/>
                <w:sz w:val="18"/>
                <w:szCs w:val="18"/>
              </w:rPr>
              <w:t>Vocational</w:t>
            </w:r>
            <w:r w:rsidR="00BD1825" w:rsidRPr="00584BCB">
              <w:rPr>
                <w:rFonts w:ascii="Rubik" w:hAnsi="Rubik"/>
                <w:color w:val="000000" w:themeColor="text1"/>
                <w:sz w:val="18"/>
                <w:szCs w:val="18"/>
              </w:rPr>
              <w:t xml:space="preserve"> program only</w:t>
            </w:r>
          </w:p>
          <w:p w14:paraId="30B5E25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Note: no further description was given in article</w:t>
            </w:r>
          </w:p>
        </w:tc>
      </w:tr>
    </w:tbl>
    <w:p w14:paraId="6009C42D" w14:textId="71B7CFB5" w:rsidR="00526F46" w:rsidRPr="00584BCB" w:rsidRDefault="00526F46">
      <w:pPr>
        <w:rPr>
          <w:color w:val="000000" w:themeColor="text1"/>
        </w:rPr>
      </w:pPr>
    </w:p>
    <w:p w14:paraId="67B9998B" w14:textId="77777777" w:rsidR="000C475B" w:rsidRPr="00584BCB" w:rsidRDefault="000C475B">
      <w:pPr>
        <w:rPr>
          <w:color w:val="000000" w:themeColor="text1"/>
        </w:rPr>
        <w:sectPr w:rsidR="000C475B" w:rsidRPr="00584BCB" w:rsidSect="004524C0">
          <w:pgSz w:w="16840" w:h="11900" w:orient="landscape"/>
          <w:pgMar w:top="720" w:right="720" w:bottom="720" w:left="720" w:header="720" w:footer="720" w:gutter="0"/>
          <w:cols w:space="720"/>
          <w:docGrid w:linePitch="299"/>
        </w:sectPr>
      </w:pPr>
    </w:p>
    <w:p w14:paraId="33A83908" w14:textId="2B6CDC48" w:rsidR="00526F46" w:rsidRPr="00584BCB" w:rsidRDefault="000C475B" w:rsidP="009340DA">
      <w:pPr>
        <w:pStyle w:val="Caption"/>
        <w:rPr>
          <w:color w:val="000000" w:themeColor="text1"/>
        </w:rPr>
      </w:pPr>
      <w:r w:rsidRPr="00584BCB">
        <w:rPr>
          <w:rFonts w:ascii="Rubik" w:hAnsi="Rubik"/>
          <w:color w:val="000000" w:themeColor="text1"/>
          <w:sz w:val="22"/>
          <w:szCs w:val="22"/>
        </w:rPr>
        <w:lastRenderedPageBreak/>
        <w:t>Table 3. Descriptions of Interventions in included studies with people with psychosocial disability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932"/>
        <w:gridCol w:w="7451"/>
        <w:gridCol w:w="7007"/>
      </w:tblGrid>
      <w:tr w:rsidR="00584BCB" w:rsidRPr="00584BCB" w14:paraId="6F07DF7B" w14:textId="77777777" w:rsidTr="00BF49AC">
        <w:trPr>
          <w:tblHeader/>
        </w:trPr>
        <w:tc>
          <w:tcPr>
            <w:tcW w:w="0" w:type="auto"/>
            <w:shd w:val="clear" w:color="auto" w:fill="7EA4A4"/>
            <w:noWrap/>
            <w:hideMark/>
          </w:tcPr>
          <w:p w14:paraId="0AD3C00B"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787B2E4C"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28AC24AE"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2755DAF2" w14:textId="77777777" w:rsidTr="00526F46">
        <w:tc>
          <w:tcPr>
            <w:tcW w:w="0" w:type="auto"/>
            <w:hideMark/>
          </w:tcPr>
          <w:p w14:paraId="71893CF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McGurk 2015</w:t>
            </w:r>
          </w:p>
        </w:tc>
        <w:tc>
          <w:tcPr>
            <w:tcW w:w="0" w:type="auto"/>
            <w:hideMark/>
          </w:tcPr>
          <w:p w14:paraId="38F3ED3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Enhanced supported employment plus the Thinking Skills for Work Program </w:t>
            </w:r>
          </w:p>
          <w:p w14:paraId="00DF9CE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The Thinking Skills for Work program uses three strategies to increase cognitive performance at work: (1) cognitive exercise practice, (2) strategy coaching, and (3) teaching coping/compensatory strategies. The cognitive specialist had contact with participants in the Thinking Skills for Work Program and served as a member of the employment team. This involved updating the team about participants’ progress, learning about their difficulties with employment, recommending compensatory strategies for reducing the impact of cognitive challenges, and problem solving related to implementing these and other strategies. </w:t>
            </w:r>
          </w:p>
        </w:tc>
        <w:tc>
          <w:tcPr>
            <w:tcW w:w="0" w:type="auto"/>
          </w:tcPr>
          <w:p w14:paraId="1D93794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Enhanced supported employment only</w:t>
            </w:r>
          </w:p>
          <w:p w14:paraId="3D9F6797" w14:textId="7F038C2C" w:rsidR="00BD1825" w:rsidRPr="00584BCB" w:rsidRDefault="004B293B" w:rsidP="00BD1825">
            <w:pPr>
              <w:rPr>
                <w:rFonts w:ascii="Rubik" w:hAnsi="Rubik"/>
                <w:color w:val="000000" w:themeColor="text1"/>
                <w:sz w:val="18"/>
                <w:szCs w:val="18"/>
              </w:rPr>
            </w:pPr>
            <w:r w:rsidRPr="00584BCB">
              <w:rPr>
                <w:rFonts w:ascii="Rubik" w:hAnsi="Rubik"/>
                <w:color w:val="000000" w:themeColor="text1"/>
                <w:sz w:val="18"/>
                <w:szCs w:val="18"/>
              </w:rPr>
              <w:t>The v</w:t>
            </w:r>
            <w:r w:rsidR="006D11DA" w:rsidRPr="00584BCB">
              <w:rPr>
                <w:rFonts w:ascii="Rubik" w:hAnsi="Rubik"/>
                <w:color w:val="000000" w:themeColor="text1"/>
                <w:sz w:val="18"/>
                <w:szCs w:val="18"/>
              </w:rPr>
              <w:t>ocational program</w:t>
            </w:r>
            <w:r w:rsidR="00BD1825" w:rsidRPr="00584BCB">
              <w:rPr>
                <w:rFonts w:ascii="Rubik" w:hAnsi="Rubik"/>
                <w:color w:val="000000" w:themeColor="text1"/>
                <w:sz w:val="18"/>
                <w:szCs w:val="18"/>
              </w:rPr>
              <w:t xml:space="preserve"> followed the individual placement and support model. </w:t>
            </w:r>
            <w:r w:rsidR="006D11DA" w:rsidRPr="00584BCB">
              <w:rPr>
                <w:rFonts w:ascii="Rubik" w:hAnsi="Rubik"/>
                <w:color w:val="000000" w:themeColor="text1"/>
                <w:sz w:val="18"/>
                <w:szCs w:val="18"/>
              </w:rPr>
              <w:t xml:space="preserve">The vocational program </w:t>
            </w:r>
            <w:r w:rsidR="00BD1825" w:rsidRPr="00584BCB">
              <w:rPr>
                <w:rFonts w:ascii="Rubik" w:hAnsi="Rubik"/>
                <w:color w:val="000000" w:themeColor="text1"/>
                <w:sz w:val="18"/>
                <w:szCs w:val="18"/>
              </w:rPr>
              <w:t>was enhanced by training employment specialists on cognitive impairments that interfere with work performance and strategies to help participants cope. Employment specialists had caseloads of 20 participants. Each employment specialist served participants in both treatment conditions. Potential for contamination between conditions was minimised by providing the manual for the Thinking Skills for Work program only to the cognitive specialist who implemented the program.</w:t>
            </w:r>
          </w:p>
        </w:tc>
      </w:tr>
      <w:tr w:rsidR="00584BCB" w:rsidRPr="00584BCB" w14:paraId="600A2477" w14:textId="77777777" w:rsidTr="00526F46">
        <w:tc>
          <w:tcPr>
            <w:tcW w:w="0" w:type="auto"/>
            <w:hideMark/>
          </w:tcPr>
          <w:p w14:paraId="23BD31DC"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Michon 2014</w:t>
            </w:r>
          </w:p>
        </w:tc>
        <w:tc>
          <w:tcPr>
            <w:tcW w:w="0" w:type="auto"/>
            <w:hideMark/>
          </w:tcPr>
          <w:p w14:paraId="2C2E846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(moderate to good fidelity) </w:t>
            </w:r>
          </w:p>
          <w:p w14:paraId="0F999E0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was implemented according to protocol. Employment specialists assisted people in getting regular jobs, offered follow-along support, spent most of the time in the community and operated in close collaboration with the other community mental health team members. Employment specialists were placed in community mental health teams with a staff: client ratio ranging from 1:20 to 1:30. The majority of mental health services and treatment offered by these outpatient teams were provided in the community, employing assertive outreach. Four IPS services were trained and monitored on model.</w:t>
            </w:r>
          </w:p>
        </w:tc>
        <w:tc>
          <w:tcPr>
            <w:tcW w:w="0" w:type="auto"/>
          </w:tcPr>
          <w:p w14:paraId="1350917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t>
            </w:r>
          </w:p>
          <w:p w14:paraId="14E9660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was facilitated by the mental health agency in a separate rehabilitation centre or by public services aimed at vocational rehabilitation. </w:t>
            </w:r>
          </w:p>
          <w:p w14:paraId="58FC3F0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These services offer a stepwise vocational trajectory, putting much stronger emphasis on lengthy assessment of individual competencies and on connecting to pre- vocational activities such as voluntary jobs before placement in regular jobs. These program characteristics are in contrast with the rapid job search, very short assessment and minimum of prevocational training in IPS. Traditional vocational rehabilitation staff did not participate in the mental health teams. Traditional vocational rehabilitation can be described as a separated train-then-place model. Control services were assessed once with the Quality of Supported Employment Implementation Scale during the middle of the data collection phase. One of the centres with moderate IPS fidelity showed a minimal contrast with the control condition. The three other sites showed adequate fidelity contrasts in the two conditions.</w:t>
            </w:r>
          </w:p>
        </w:tc>
      </w:tr>
    </w:tbl>
    <w:p w14:paraId="4F21D79C" w14:textId="77777777" w:rsidR="00526F46" w:rsidRPr="00584BCB" w:rsidRDefault="00526F46">
      <w:pPr>
        <w:rPr>
          <w:color w:val="000000" w:themeColor="text1"/>
        </w:rPr>
      </w:pPr>
    </w:p>
    <w:p w14:paraId="207E7779" w14:textId="77777777" w:rsidR="000C475B" w:rsidRPr="00584BCB" w:rsidRDefault="000C475B">
      <w:pPr>
        <w:rPr>
          <w:color w:val="000000" w:themeColor="text1"/>
        </w:rPr>
      </w:pPr>
    </w:p>
    <w:p w14:paraId="635C1E14" w14:textId="77777777" w:rsidR="000C475B" w:rsidRPr="00584BCB" w:rsidRDefault="000C475B">
      <w:pPr>
        <w:rPr>
          <w:color w:val="000000" w:themeColor="text1"/>
        </w:rPr>
      </w:pPr>
    </w:p>
    <w:p w14:paraId="368446CD" w14:textId="77777777" w:rsidR="000C475B" w:rsidRPr="00584BCB" w:rsidRDefault="000C475B">
      <w:pPr>
        <w:rPr>
          <w:color w:val="000000" w:themeColor="text1"/>
        </w:rPr>
      </w:pPr>
    </w:p>
    <w:p w14:paraId="64253E37" w14:textId="77777777" w:rsidR="008D7089" w:rsidRPr="00584BCB" w:rsidRDefault="008D7089">
      <w:pPr>
        <w:spacing w:after="160" w:line="259" w:lineRule="auto"/>
        <w:rPr>
          <w:rFonts w:ascii="Rubik" w:hAnsi="Rubik"/>
          <w:b/>
          <w:iCs/>
          <w:color w:val="000000" w:themeColor="text1"/>
          <w:sz w:val="22"/>
        </w:rPr>
      </w:pPr>
      <w:r w:rsidRPr="00584BCB">
        <w:rPr>
          <w:rFonts w:ascii="Rubik" w:hAnsi="Rubik"/>
          <w:color w:val="000000" w:themeColor="text1"/>
          <w:sz w:val="22"/>
        </w:rPr>
        <w:br w:type="page"/>
      </w:r>
    </w:p>
    <w:p w14:paraId="2194C990" w14:textId="4792C1E5" w:rsidR="000C475B" w:rsidRPr="00584BCB" w:rsidRDefault="000C475B" w:rsidP="009340DA">
      <w:pPr>
        <w:pStyle w:val="Caption"/>
        <w:rPr>
          <w:color w:val="000000" w:themeColor="text1"/>
        </w:rPr>
      </w:pPr>
      <w:r w:rsidRPr="00584BCB">
        <w:rPr>
          <w:rFonts w:ascii="Rubik" w:hAnsi="Rubik"/>
          <w:color w:val="000000" w:themeColor="text1"/>
          <w:sz w:val="22"/>
          <w:szCs w:val="22"/>
        </w:rPr>
        <w:lastRenderedPageBreak/>
        <w:t>Table 3. Descriptions of Interventions in included studies with people with psychosocial disability (continued)</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382"/>
        <w:gridCol w:w="7066"/>
        <w:gridCol w:w="6942"/>
      </w:tblGrid>
      <w:tr w:rsidR="00584BCB" w:rsidRPr="00584BCB" w14:paraId="6529D63F" w14:textId="77777777" w:rsidTr="00BF49AC">
        <w:trPr>
          <w:tblHeader/>
        </w:trPr>
        <w:tc>
          <w:tcPr>
            <w:tcW w:w="0" w:type="auto"/>
            <w:shd w:val="clear" w:color="auto" w:fill="7EA4A4"/>
            <w:noWrap/>
            <w:hideMark/>
          </w:tcPr>
          <w:p w14:paraId="57A0BF7F"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4CDF51F0"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2E57461F" w14:textId="77777777" w:rsidR="00526F46" w:rsidRPr="00584BCB" w:rsidRDefault="00526F46" w:rsidP="00526F46">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07D1A9F1" w14:textId="77777777" w:rsidTr="000C475B">
        <w:trPr>
          <w:trHeight w:val="4076"/>
        </w:trPr>
        <w:tc>
          <w:tcPr>
            <w:tcW w:w="0" w:type="auto"/>
            <w:hideMark/>
          </w:tcPr>
          <w:p w14:paraId="0025C2E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Nuechterlein 2020</w:t>
            </w:r>
          </w:p>
        </w:tc>
        <w:tc>
          <w:tcPr>
            <w:tcW w:w="0" w:type="auto"/>
            <w:hideMark/>
          </w:tcPr>
          <w:p w14:paraId="43B39B7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IPS plus Workplace Fundamentals Module, good IPS fidelity</w:t>
            </w:r>
          </w:p>
          <w:p w14:paraId="5C602C3A" w14:textId="3C39C8A1"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The intervention followed the principles of </w:t>
            </w:r>
            <w:r w:rsidR="000C475B" w:rsidRPr="00584BCB">
              <w:rPr>
                <w:rFonts w:ascii="Rubik" w:hAnsi="Rubik"/>
                <w:color w:val="000000" w:themeColor="text1"/>
                <w:sz w:val="18"/>
                <w:szCs w:val="18"/>
              </w:rPr>
              <w:t>IPS but</w:t>
            </w:r>
            <w:r w:rsidRPr="00584BCB">
              <w:rPr>
                <w:rFonts w:ascii="Rubik" w:hAnsi="Rubik"/>
                <w:color w:val="000000" w:themeColor="text1"/>
                <w:sz w:val="18"/>
                <w:szCs w:val="18"/>
              </w:rPr>
              <w:t xml:space="preserve"> was adapted to provide supported education for participants whose preferences and situations made resuming education more appropriate than employment. The employment specialist was a member of the clinical </w:t>
            </w:r>
            <w:r w:rsidR="000C475B" w:rsidRPr="00584BCB">
              <w:rPr>
                <w:rFonts w:ascii="Rubik" w:hAnsi="Rubik"/>
                <w:color w:val="000000" w:themeColor="text1"/>
                <w:sz w:val="18"/>
                <w:szCs w:val="18"/>
              </w:rPr>
              <w:t>team and</w:t>
            </w:r>
            <w:r w:rsidRPr="00584BCB">
              <w:rPr>
                <w:rFonts w:ascii="Rubik" w:hAnsi="Rubik"/>
                <w:color w:val="000000" w:themeColor="text1"/>
                <w:sz w:val="18"/>
                <w:szCs w:val="18"/>
              </w:rPr>
              <w:t xml:space="preserve"> met with the participants. The Workplace Fundamentals Module used a group-based skills training approach with a focus on the social and problem-solving skills required for employment. Skill areas included: (1) how work/ school changes your life, (2) learning about your place of work or school, (3) identifying stressors, (4) solving problems, (5) managing symptoms and medications, (6) managing health, (7) improving job/school performance, (8) socialising with fellow workers/students, and (9) finding motivation. Each skill involved showing videotaped scenarios, role played practice, generation and evaluation of solutions to individually relevant school/work problems, and individualised homework. Additional scenarios were generated to adapt the Workplace Fundamentals Module to school settings. Participants used the Workplace Fundamentals Module Job Organizing Book during the group sessions, led by the case managers. Participants had 75 min groups once a week for 6 months, followed by booster groups of fading frequency over 6 months.  </w:t>
            </w:r>
          </w:p>
        </w:tc>
        <w:tc>
          <w:tcPr>
            <w:tcW w:w="0" w:type="auto"/>
          </w:tcPr>
          <w:p w14:paraId="708D88E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Conventional Brokered Vocational Rehabilitation plus social skills training intervention</w:t>
            </w:r>
          </w:p>
          <w:p w14:paraId="00CB06D4"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Case managers made referrals to vocational rehabilitation services at separate agencies. The vocational rehabilitation at local state agencies emphasised initial assessment of vocational abilities and interests, referrals to job openings and school opportunities, and arrangements to pay for schooling or job training, but not in-person, active outreach in the community. The study case managers ensured that participants had an initial appointment and served as the communications link with the vocational rehabilitation centre. Participants also participated in clinic-based skills training groups, matched in time to the Workplace Fundamentals Module. Skills training included medication management and communication skills training but did not focus on workplace skills.</w:t>
            </w:r>
          </w:p>
        </w:tc>
      </w:tr>
      <w:tr w:rsidR="00584BCB" w:rsidRPr="00584BCB" w14:paraId="0E1136D9" w14:textId="77777777" w:rsidTr="000C475B">
        <w:trPr>
          <w:trHeight w:val="1222"/>
        </w:trPr>
        <w:tc>
          <w:tcPr>
            <w:tcW w:w="0" w:type="auto"/>
            <w:hideMark/>
          </w:tcPr>
          <w:p w14:paraId="11713B8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Oshima 2014</w:t>
            </w:r>
          </w:p>
        </w:tc>
        <w:tc>
          <w:tcPr>
            <w:tcW w:w="0" w:type="auto"/>
            <w:hideMark/>
          </w:tcPr>
          <w:p w14:paraId="40045E47"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fidelity </w:t>
            </w:r>
          </w:p>
          <w:p w14:paraId="02A1918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Four employment specialists, each employed 30 hours per week, formed the IPS unit. The employment specialists received 4 months of training.</w:t>
            </w:r>
          </w:p>
        </w:tc>
        <w:tc>
          <w:tcPr>
            <w:tcW w:w="0" w:type="auto"/>
          </w:tcPr>
          <w:p w14:paraId="0B591EB9"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t>
            </w:r>
          </w:p>
          <w:p w14:paraId="74FC4C8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Participants received conventional vocational rehabilitation services at the community support centre. The program consisted of prevocational training in various work groups in a simulated environment intended to prepare participants for paid employment.</w:t>
            </w:r>
          </w:p>
        </w:tc>
      </w:tr>
    </w:tbl>
    <w:p w14:paraId="72C04696" w14:textId="77777777" w:rsidR="000C475B" w:rsidRPr="00584BCB" w:rsidRDefault="000C475B" w:rsidP="00BD1825">
      <w:pPr>
        <w:rPr>
          <w:rFonts w:ascii="Rubik" w:hAnsi="Rubik"/>
          <w:color w:val="000000" w:themeColor="text1"/>
          <w:sz w:val="18"/>
          <w:szCs w:val="18"/>
        </w:rPr>
        <w:sectPr w:rsidR="000C475B" w:rsidRPr="00584BCB" w:rsidSect="004524C0">
          <w:pgSz w:w="16840" w:h="11900" w:orient="landscape"/>
          <w:pgMar w:top="720" w:right="720" w:bottom="720" w:left="720" w:header="720" w:footer="720" w:gutter="0"/>
          <w:cols w:space="720"/>
          <w:docGrid w:linePitch="299"/>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165"/>
        <w:gridCol w:w="7310"/>
        <w:gridCol w:w="6925"/>
      </w:tblGrid>
      <w:tr w:rsidR="00584BCB" w:rsidRPr="00584BCB" w14:paraId="39E6EFE7" w14:textId="77777777" w:rsidTr="007A68EF">
        <w:tc>
          <w:tcPr>
            <w:tcW w:w="0" w:type="auto"/>
            <w:gridSpan w:val="3"/>
            <w:tcBorders>
              <w:top w:val="nil"/>
              <w:left w:val="nil"/>
              <w:bottom w:val="single" w:sz="4" w:space="0" w:color="000000" w:themeColor="text1"/>
              <w:right w:val="nil"/>
            </w:tcBorders>
          </w:tcPr>
          <w:p w14:paraId="008CF02F" w14:textId="273ED026" w:rsidR="007A68EF" w:rsidRPr="00584BCB" w:rsidRDefault="007A68EF" w:rsidP="007A68EF">
            <w:pPr>
              <w:pStyle w:val="Caption"/>
              <w:rPr>
                <w:rFonts w:ascii="Rubik" w:hAnsi="Rubik"/>
                <w:color w:val="000000" w:themeColor="text1"/>
                <w:sz w:val="22"/>
                <w:szCs w:val="22"/>
              </w:rPr>
            </w:pPr>
            <w:r w:rsidRPr="00584BCB">
              <w:rPr>
                <w:rFonts w:ascii="Rubik" w:hAnsi="Rubik"/>
                <w:color w:val="000000" w:themeColor="text1"/>
                <w:sz w:val="22"/>
                <w:szCs w:val="22"/>
              </w:rPr>
              <w:lastRenderedPageBreak/>
              <w:t>Table 3. Descriptions of Interventions in included studies with people with psychosocial disability (continued)</w:t>
            </w:r>
          </w:p>
        </w:tc>
      </w:tr>
      <w:tr w:rsidR="00584BCB" w:rsidRPr="00584BCB" w14:paraId="0D18E0E5" w14:textId="77777777" w:rsidTr="007A68EF">
        <w:trPr>
          <w:tblHeader/>
        </w:trPr>
        <w:tc>
          <w:tcPr>
            <w:tcW w:w="0" w:type="auto"/>
            <w:tcBorders>
              <w:top w:val="single" w:sz="4" w:space="0" w:color="000000" w:themeColor="text1"/>
            </w:tcBorders>
            <w:shd w:val="clear" w:color="auto" w:fill="7EA4A4"/>
            <w:noWrap/>
          </w:tcPr>
          <w:p w14:paraId="6AEF0F92" w14:textId="09FFEC7F"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Study</w:t>
            </w:r>
          </w:p>
        </w:tc>
        <w:tc>
          <w:tcPr>
            <w:tcW w:w="0" w:type="auto"/>
            <w:tcBorders>
              <w:top w:val="single" w:sz="4" w:space="0" w:color="000000" w:themeColor="text1"/>
            </w:tcBorders>
            <w:shd w:val="clear" w:color="auto" w:fill="7EA4A4"/>
            <w:noWrap/>
          </w:tcPr>
          <w:p w14:paraId="70353A9D" w14:textId="463AD21F"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Interventions</w:t>
            </w:r>
          </w:p>
        </w:tc>
        <w:tc>
          <w:tcPr>
            <w:tcW w:w="0" w:type="auto"/>
            <w:tcBorders>
              <w:top w:val="single" w:sz="4" w:space="0" w:color="000000" w:themeColor="text1"/>
            </w:tcBorders>
            <w:shd w:val="clear" w:color="auto" w:fill="7EA4A4"/>
          </w:tcPr>
          <w:p w14:paraId="45168C80" w14:textId="7E0A3115"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Control / Comparator</w:t>
            </w:r>
          </w:p>
        </w:tc>
      </w:tr>
      <w:tr w:rsidR="00584BCB" w:rsidRPr="00584BCB" w14:paraId="1FEB32F0" w14:textId="77777777" w:rsidTr="00526F46">
        <w:tc>
          <w:tcPr>
            <w:tcW w:w="0" w:type="auto"/>
            <w:hideMark/>
          </w:tcPr>
          <w:p w14:paraId="4571DC9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Poremski 2017</w:t>
            </w:r>
          </w:p>
        </w:tc>
        <w:tc>
          <w:tcPr>
            <w:tcW w:w="0" w:type="auto"/>
            <w:hideMark/>
          </w:tcPr>
          <w:p w14:paraId="3C28DB8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fidelity </w:t>
            </w:r>
          </w:p>
          <w:p w14:paraId="0679E2B9"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Employment specialists were trained. They worked closely with the clinical teams from whose caseloads their clients were drawn.</w:t>
            </w:r>
          </w:p>
        </w:tc>
        <w:tc>
          <w:tcPr>
            <w:tcW w:w="0" w:type="auto"/>
          </w:tcPr>
          <w:p w14:paraId="3B615448" w14:textId="2F55513D" w:rsidR="000C475B" w:rsidRPr="00584BCB" w:rsidRDefault="00BD1825" w:rsidP="000C475B">
            <w:pPr>
              <w:rPr>
                <w:rFonts w:ascii="Rubik" w:hAnsi="Rubik"/>
                <w:color w:val="000000" w:themeColor="text1"/>
                <w:szCs w:val="20"/>
              </w:rPr>
            </w:pPr>
            <w:r w:rsidRPr="00584BCB">
              <w:rPr>
                <w:rFonts w:ascii="Rubik" w:hAnsi="Rubik"/>
                <w:color w:val="000000" w:themeColor="text1"/>
                <w:sz w:val="18"/>
                <w:szCs w:val="18"/>
              </w:rPr>
              <w:t>Free to seek employment by any means of their choice Participants were free to seek employment by any means of their choice with some support from their case managers. Available services included training with eventual placement in jobs reserved for people receiving basic social assistance or disability payments. Community-based services for people who were homeless were also available. None of these services were integrated into the clinical teams,</w:t>
            </w:r>
            <w:r w:rsidR="00526F46" w:rsidRPr="00584BCB">
              <w:rPr>
                <w:rFonts w:ascii="Rubik" w:hAnsi="Rubik"/>
                <w:color w:val="000000" w:themeColor="text1"/>
                <w:sz w:val="18"/>
                <w:szCs w:val="18"/>
              </w:rPr>
              <w:t xml:space="preserve"> </w:t>
            </w:r>
            <w:r w:rsidRPr="00584BCB">
              <w:rPr>
                <w:rFonts w:ascii="Rubik" w:hAnsi="Rubik"/>
                <w:color w:val="000000" w:themeColor="text1"/>
                <w:sz w:val="18"/>
                <w:szCs w:val="18"/>
              </w:rPr>
              <w:t>or provided time-unlimited personalised support. Note: Both groups received Housing First, which led to increased housing stability.</w:t>
            </w:r>
          </w:p>
        </w:tc>
      </w:tr>
      <w:tr w:rsidR="00584BCB" w:rsidRPr="00584BCB" w14:paraId="5413687E" w14:textId="77777777" w:rsidTr="00526F46">
        <w:tc>
          <w:tcPr>
            <w:tcW w:w="0" w:type="auto"/>
            <w:hideMark/>
          </w:tcPr>
          <w:p w14:paraId="1D0DE06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Russinova 2018</w:t>
            </w:r>
          </w:p>
        </w:tc>
        <w:tc>
          <w:tcPr>
            <w:tcW w:w="0" w:type="auto"/>
            <w:hideMark/>
          </w:tcPr>
          <w:p w14:paraId="38679B2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Vocational Empowerment Photovoice (high VEP fidelity)</w:t>
            </w:r>
          </w:p>
          <w:p w14:paraId="79B6F92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The Vocational Empowerment Photovoice program is a manualised peer-led intervention with a 10-week core component delivered in 2-hr group sessions, which is followed by two booster sessions delivered a month apart after the completion of the core curriculum. Each session combines psychoeducational information, exercises, and group discussions relevant to pursuing employment services and opportunities. Photovoice involves participants using cameras to photograph objects or events in their daily lives that are relevant to a given research topic and generating narratives for these pictures through group discussion. The following elements of the photovoice methodology were embedded in the curriculum: overview of the photovoice process, guidelines about the use of camera and of photography ethics, discussion of the VEP photovoice assignments, taking of pictures relevant to each photovoice assignment, group discussion of selected pictures and writing of corresponding narratives, preparation of photovoice pieces for public display, and discussion of relevant audiences. </w:t>
            </w:r>
          </w:p>
        </w:tc>
        <w:tc>
          <w:tcPr>
            <w:tcW w:w="0" w:type="auto"/>
          </w:tcPr>
          <w:p w14:paraId="7B8262C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Wait-list control</w:t>
            </w:r>
          </w:p>
        </w:tc>
      </w:tr>
    </w:tbl>
    <w:p w14:paraId="18BA4CBF" w14:textId="77777777" w:rsidR="00162D0E" w:rsidRPr="00584BCB" w:rsidRDefault="00162D0E">
      <w:pPr>
        <w:rPr>
          <w:color w:val="000000" w:themeColor="text1"/>
        </w:rPr>
        <w:sectPr w:rsidR="00162D0E" w:rsidRPr="00584BCB" w:rsidSect="004524C0">
          <w:pgSz w:w="16840" w:h="11900" w:orient="landscape"/>
          <w:pgMar w:top="720" w:right="720" w:bottom="720" w:left="720" w:header="720" w:footer="720" w:gutter="0"/>
          <w:cols w:space="720"/>
          <w:docGrid w:linePitch="299"/>
        </w:sectPr>
      </w:pPr>
    </w:p>
    <w:tbl>
      <w:tblPr>
        <w:tblpPr w:leftFromText="180" w:rightFromText="180" w:vertAnchor="text" w:tblpY="1"/>
        <w:tblOverlap w:val="never"/>
        <w:tblW w:w="15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147"/>
        <w:gridCol w:w="7895"/>
        <w:gridCol w:w="6358"/>
      </w:tblGrid>
      <w:tr w:rsidR="00584BCB" w:rsidRPr="00584BCB" w14:paraId="46CBE504" w14:textId="77777777" w:rsidTr="007A68EF">
        <w:tc>
          <w:tcPr>
            <w:tcW w:w="0" w:type="auto"/>
            <w:gridSpan w:val="3"/>
            <w:tcBorders>
              <w:top w:val="nil"/>
              <w:left w:val="nil"/>
              <w:right w:val="nil"/>
            </w:tcBorders>
          </w:tcPr>
          <w:p w14:paraId="1EB2A761" w14:textId="331F3F8B" w:rsidR="007A68EF" w:rsidRPr="00584BCB" w:rsidRDefault="007A68EF" w:rsidP="00BD1825">
            <w:pPr>
              <w:rPr>
                <w:rFonts w:ascii="Rubik" w:hAnsi="Rubik"/>
                <w:b/>
                <w:bCs/>
                <w:color w:val="000000" w:themeColor="text1"/>
                <w:sz w:val="24"/>
                <w:szCs w:val="24"/>
              </w:rPr>
            </w:pPr>
            <w:r w:rsidRPr="00584BCB">
              <w:rPr>
                <w:rFonts w:ascii="Rubik" w:hAnsi="Rubik"/>
                <w:b/>
                <w:bCs/>
                <w:color w:val="000000" w:themeColor="text1"/>
                <w:sz w:val="24"/>
                <w:szCs w:val="24"/>
              </w:rPr>
              <w:lastRenderedPageBreak/>
              <w:t>Table 3. Descriptions of Interventions in included studies with people with psychosocial disability (continued)</w:t>
            </w:r>
          </w:p>
        </w:tc>
      </w:tr>
      <w:tr w:rsidR="00584BCB" w:rsidRPr="00584BCB" w14:paraId="3870404D" w14:textId="77777777" w:rsidTr="0075350B">
        <w:trPr>
          <w:tblHeader/>
        </w:trPr>
        <w:tc>
          <w:tcPr>
            <w:tcW w:w="0" w:type="auto"/>
            <w:tcBorders>
              <w:top w:val="single" w:sz="4" w:space="0" w:color="000000" w:themeColor="text1"/>
            </w:tcBorders>
            <w:shd w:val="clear" w:color="auto" w:fill="7EA4A4"/>
            <w:noWrap/>
          </w:tcPr>
          <w:p w14:paraId="28057F10" w14:textId="77777777"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Study</w:t>
            </w:r>
          </w:p>
        </w:tc>
        <w:tc>
          <w:tcPr>
            <w:tcW w:w="0" w:type="auto"/>
            <w:tcBorders>
              <w:top w:val="single" w:sz="4" w:space="0" w:color="000000" w:themeColor="text1"/>
            </w:tcBorders>
            <w:shd w:val="clear" w:color="auto" w:fill="7EA4A4"/>
            <w:noWrap/>
          </w:tcPr>
          <w:p w14:paraId="75E85995" w14:textId="77777777"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Interventions</w:t>
            </w:r>
          </w:p>
        </w:tc>
        <w:tc>
          <w:tcPr>
            <w:tcW w:w="0" w:type="auto"/>
            <w:tcBorders>
              <w:top w:val="single" w:sz="4" w:space="0" w:color="000000" w:themeColor="text1"/>
            </w:tcBorders>
            <w:shd w:val="clear" w:color="auto" w:fill="7EA4A4"/>
          </w:tcPr>
          <w:p w14:paraId="6DC1A1FC" w14:textId="77777777" w:rsidR="007A68EF" w:rsidRPr="00584BCB" w:rsidRDefault="007A68EF" w:rsidP="007A68EF">
            <w:pPr>
              <w:rPr>
                <w:rFonts w:ascii="Rubik" w:hAnsi="Rubik"/>
                <w:i/>
                <w:iCs/>
                <w:color w:val="000000" w:themeColor="text1"/>
                <w:sz w:val="18"/>
                <w:szCs w:val="18"/>
              </w:rPr>
            </w:pPr>
            <w:r w:rsidRPr="00584BCB">
              <w:rPr>
                <w:rFonts w:ascii="Rubik" w:hAnsi="Rubik"/>
                <w:i/>
                <w:iCs/>
                <w:color w:val="000000" w:themeColor="text1"/>
                <w:szCs w:val="20"/>
              </w:rPr>
              <w:t>Control / Comparator</w:t>
            </w:r>
          </w:p>
        </w:tc>
      </w:tr>
      <w:tr w:rsidR="00584BCB" w:rsidRPr="00584BCB" w14:paraId="5DC59C99" w14:textId="77777777" w:rsidTr="007A68EF">
        <w:tc>
          <w:tcPr>
            <w:tcW w:w="0" w:type="auto"/>
            <w:hideMark/>
          </w:tcPr>
          <w:p w14:paraId="079C96A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Schneider 2016</w:t>
            </w:r>
          </w:p>
        </w:tc>
        <w:tc>
          <w:tcPr>
            <w:tcW w:w="0" w:type="auto"/>
            <w:hideMark/>
          </w:tcPr>
          <w:p w14:paraId="270F39F1" w14:textId="77777777" w:rsidR="004B293B"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plus work-focused counselling intervention Participants received three to six sessions of work-focused counselling with a psychologist. </w:t>
            </w:r>
          </w:p>
          <w:p w14:paraId="1D4C0EDC" w14:textId="46257BE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This intervention was based on psychological practice, including goal-based motivational procedures and cognitive behavioural therapy. This work-focused counselling intervention was designed to enhance the impact of IPS by addressing common obstacles to employment, which are not directly due to symptomatology and not normally the concern of the clinical team. An intervention manual based on a life goals and a problem solving approach was developed and supplemented by self-help materials. It was delivered by a trained psychologist with individual participants. Each received a booklet (‘Working Well!’) containing information about six topics (anxiety, depression, self-esteem, memory/concentration, stigma and getting on with others), and was asked to choose a maximum of four topics to discuss with the psychologist over up to six sessions lasting about an hour.</w:t>
            </w:r>
          </w:p>
        </w:tc>
        <w:tc>
          <w:tcPr>
            <w:tcW w:w="0" w:type="auto"/>
          </w:tcPr>
          <w:p w14:paraId="09E2DC6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only, range from not IPS to good fidelity </w:t>
            </w:r>
          </w:p>
          <w:p w14:paraId="5F2D092B"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Participants were assigned to an employment specialist who met with them to produce an action plan for employment. Participants continued to meet with their employment specialist as often as they wished.</w:t>
            </w:r>
          </w:p>
        </w:tc>
      </w:tr>
      <w:tr w:rsidR="00584BCB" w:rsidRPr="00584BCB" w14:paraId="07861559" w14:textId="77777777" w:rsidTr="007A68EF">
        <w:tc>
          <w:tcPr>
            <w:tcW w:w="0" w:type="auto"/>
          </w:tcPr>
          <w:p w14:paraId="2ED98BF2" w14:textId="71523A4F" w:rsidR="00162D0E" w:rsidRPr="00584BCB" w:rsidRDefault="00162D0E" w:rsidP="00BD1825">
            <w:pPr>
              <w:rPr>
                <w:rFonts w:ascii="Rubik" w:hAnsi="Rubik"/>
                <w:color w:val="000000" w:themeColor="text1"/>
                <w:sz w:val="18"/>
                <w:szCs w:val="18"/>
              </w:rPr>
            </w:pPr>
            <w:r w:rsidRPr="00584BCB">
              <w:rPr>
                <w:rFonts w:ascii="Rubik" w:hAnsi="Rubik"/>
                <w:color w:val="000000" w:themeColor="text1"/>
                <w:sz w:val="18"/>
                <w:szCs w:val="18"/>
              </w:rPr>
              <w:t>Smith 2015a</w:t>
            </w:r>
          </w:p>
        </w:tc>
        <w:tc>
          <w:tcPr>
            <w:tcW w:w="0" w:type="auto"/>
          </w:tcPr>
          <w:p w14:paraId="67AF890A" w14:textId="77777777"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 xml:space="preserve">Virtual reality job interview training </w:t>
            </w:r>
          </w:p>
          <w:p w14:paraId="6ADA9B7A" w14:textId="5429219E"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Virtual Reality Job Interview Training is a computer-based intervention developed by SIMmersion LLC (http://www.simmersion.com) to improve interviewing skills for adults with a range of disability. See Smith2015b for further information.</w:t>
            </w:r>
          </w:p>
        </w:tc>
        <w:tc>
          <w:tcPr>
            <w:tcW w:w="0" w:type="auto"/>
          </w:tcPr>
          <w:p w14:paraId="5F8B8BFB" w14:textId="1B6D8C34" w:rsidR="00162D0E" w:rsidRPr="00584BCB" w:rsidRDefault="00162D0E" w:rsidP="00BD1825">
            <w:pPr>
              <w:rPr>
                <w:rFonts w:ascii="Rubik" w:hAnsi="Rubik"/>
                <w:color w:val="000000" w:themeColor="text1"/>
                <w:sz w:val="18"/>
                <w:szCs w:val="18"/>
              </w:rPr>
            </w:pPr>
            <w:r w:rsidRPr="00584BCB">
              <w:rPr>
                <w:rFonts w:ascii="Rubik" w:hAnsi="Rubik"/>
                <w:color w:val="000000" w:themeColor="text1"/>
                <w:sz w:val="18"/>
                <w:szCs w:val="18"/>
              </w:rPr>
              <w:t>Treatment as usual waitlist control</w:t>
            </w:r>
          </w:p>
        </w:tc>
      </w:tr>
      <w:tr w:rsidR="00584BCB" w:rsidRPr="00584BCB" w14:paraId="57718FC1" w14:textId="77777777" w:rsidTr="007A68EF">
        <w:tc>
          <w:tcPr>
            <w:tcW w:w="0" w:type="auto"/>
          </w:tcPr>
          <w:p w14:paraId="510E3BD6" w14:textId="5E39874B"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Smith 2015b</w:t>
            </w:r>
          </w:p>
        </w:tc>
        <w:tc>
          <w:tcPr>
            <w:tcW w:w="0" w:type="auto"/>
          </w:tcPr>
          <w:p w14:paraId="33654EE0" w14:textId="77777777"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 xml:space="preserve">Virtual reality job interview training  </w:t>
            </w:r>
          </w:p>
          <w:p w14:paraId="2A1A5F74" w14:textId="508FB141"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Virtual Reality Job Interview Training is a software application developed by SIMmersion LLC (www.simmersion.com).  Virtual Reality Job Interview Training includes educational content about finding employment, an interactive role-play simulator and integrated feedback. Virtual Reality Job Interview Training allows people with a range of disability to repeatedly practice interviews. During each virtual interview, “Molly Porter,” a human resources manager at a large department store, asks questions about skills and experiences. Molly selects questions from 1,200 options to tailor each virtual interview on the basis of customisable information, skill level, and responses. Thus, participants can practice until they have gained the skills and confidence to interview for employment.</w:t>
            </w:r>
          </w:p>
        </w:tc>
        <w:tc>
          <w:tcPr>
            <w:tcW w:w="0" w:type="auto"/>
          </w:tcPr>
          <w:p w14:paraId="1FDEA315" w14:textId="77777777"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 xml:space="preserve">Treatment as usual waitlist control </w:t>
            </w:r>
          </w:p>
          <w:p w14:paraId="50CCAF65" w14:textId="3B23131A" w:rsidR="00162D0E" w:rsidRPr="00584BCB" w:rsidRDefault="00162D0E" w:rsidP="00162D0E">
            <w:pPr>
              <w:rPr>
                <w:rFonts w:ascii="Rubik" w:hAnsi="Rubik"/>
                <w:color w:val="000000" w:themeColor="text1"/>
                <w:sz w:val="18"/>
                <w:szCs w:val="18"/>
              </w:rPr>
            </w:pPr>
            <w:r w:rsidRPr="00584BCB">
              <w:rPr>
                <w:rFonts w:ascii="Rubik" w:hAnsi="Rubik"/>
                <w:color w:val="000000" w:themeColor="text1"/>
                <w:sz w:val="18"/>
                <w:szCs w:val="18"/>
              </w:rPr>
              <w:t>Individuals with Psychiatric Disability attended their typical outpatient vocational services for two weeks, which may have included preparations for job interviews using didactic and role-play methods. Veterans with Posttraumatic Stress Disorder attended their usual outpatient services for two weeks, which may have included vocational training.</w:t>
            </w:r>
          </w:p>
        </w:tc>
      </w:tr>
    </w:tbl>
    <w:p w14:paraId="13FB1D7D" w14:textId="77777777" w:rsidR="000C475B" w:rsidRPr="00584BCB" w:rsidRDefault="000C475B" w:rsidP="000C475B">
      <w:pPr>
        <w:pStyle w:val="Caption"/>
        <w:rPr>
          <w:rFonts w:ascii="Rubik" w:hAnsi="Rubik"/>
          <w:color w:val="000000" w:themeColor="text1"/>
          <w:sz w:val="22"/>
          <w:szCs w:val="22"/>
        </w:rPr>
        <w:sectPr w:rsidR="000C475B" w:rsidRPr="00584BCB" w:rsidSect="004524C0">
          <w:pgSz w:w="16840" w:h="11900" w:orient="landscape"/>
          <w:pgMar w:top="720" w:right="720" w:bottom="720" w:left="720" w:header="720" w:footer="720" w:gutter="0"/>
          <w:cols w:space="720"/>
          <w:docGrid w:linePitch="299"/>
        </w:sect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415"/>
        <w:gridCol w:w="7700"/>
        <w:gridCol w:w="6285"/>
      </w:tblGrid>
      <w:tr w:rsidR="00584BCB" w:rsidRPr="00584BCB" w14:paraId="0E14474E" w14:textId="77777777" w:rsidTr="00162D0E">
        <w:trPr>
          <w:tblHeader/>
        </w:trPr>
        <w:tc>
          <w:tcPr>
            <w:tcW w:w="0" w:type="auto"/>
            <w:gridSpan w:val="3"/>
            <w:tcBorders>
              <w:top w:val="nil"/>
              <w:left w:val="nil"/>
              <w:right w:val="nil"/>
            </w:tcBorders>
            <w:shd w:val="clear" w:color="auto" w:fill="FFFFFF" w:themeFill="background1"/>
            <w:noWrap/>
          </w:tcPr>
          <w:p w14:paraId="640E27A8" w14:textId="1D259FA5" w:rsidR="00162D0E" w:rsidRPr="00584BCB" w:rsidRDefault="00162D0E" w:rsidP="00162D0E">
            <w:pPr>
              <w:rPr>
                <w:rFonts w:ascii="Rubik" w:hAnsi="Rubik"/>
                <w:b/>
                <w:bCs/>
                <w:i/>
                <w:iCs/>
                <w:color w:val="000000" w:themeColor="text1"/>
                <w:sz w:val="22"/>
              </w:rPr>
            </w:pPr>
            <w:r w:rsidRPr="00584BCB">
              <w:rPr>
                <w:rFonts w:ascii="Rubik" w:hAnsi="Rubik"/>
                <w:b/>
                <w:bCs/>
                <w:color w:val="000000" w:themeColor="text1"/>
                <w:sz w:val="22"/>
              </w:rPr>
              <w:lastRenderedPageBreak/>
              <w:t>Table 3. Descriptions of Interventions in included studies with people with psychosocial disability (continued)</w:t>
            </w:r>
          </w:p>
        </w:tc>
      </w:tr>
      <w:tr w:rsidR="00584BCB" w:rsidRPr="00584BCB" w14:paraId="15ED0F8C" w14:textId="77777777" w:rsidTr="00EE0B7F">
        <w:tc>
          <w:tcPr>
            <w:tcW w:w="0" w:type="auto"/>
            <w:shd w:val="clear" w:color="auto" w:fill="7EA4A4"/>
            <w:noWrap/>
            <w:hideMark/>
          </w:tcPr>
          <w:p w14:paraId="448B0C0D" w14:textId="77777777" w:rsidR="00162D0E" w:rsidRPr="00584BCB" w:rsidRDefault="00162D0E" w:rsidP="00162D0E">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255A2617" w14:textId="77777777" w:rsidR="00162D0E" w:rsidRPr="00584BCB" w:rsidRDefault="00162D0E" w:rsidP="00162D0E">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0E741241" w14:textId="77777777" w:rsidR="00162D0E" w:rsidRPr="00584BCB" w:rsidRDefault="00162D0E" w:rsidP="00162D0E">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3628D83A" w14:textId="77777777" w:rsidTr="00EE0B7F">
        <w:trPr>
          <w:cantSplit/>
        </w:trPr>
        <w:tc>
          <w:tcPr>
            <w:tcW w:w="0" w:type="auto"/>
            <w:hideMark/>
          </w:tcPr>
          <w:p w14:paraId="202AC6A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Tsang 2010</w:t>
            </w:r>
          </w:p>
        </w:tc>
        <w:tc>
          <w:tcPr>
            <w:tcW w:w="0" w:type="auto"/>
            <w:hideMark/>
          </w:tcPr>
          <w:p w14:paraId="2414959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IPS fidelity) </w:t>
            </w:r>
          </w:p>
          <w:p w14:paraId="44BBAB4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intervention followed the eight key principles of IPS. </w:t>
            </w:r>
          </w:p>
          <w:p w14:paraId="6EA6B26F" w14:textId="77777777" w:rsidR="00BD1825" w:rsidRPr="00584BCB" w:rsidRDefault="00BD1825" w:rsidP="00BD1825">
            <w:pPr>
              <w:rPr>
                <w:rFonts w:ascii="Rubik" w:hAnsi="Rubik"/>
                <w:color w:val="000000" w:themeColor="text1"/>
                <w:sz w:val="18"/>
                <w:szCs w:val="18"/>
              </w:rPr>
            </w:pPr>
          </w:p>
          <w:p w14:paraId="0C183EE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Integrated Supported Employment (good IPS fidelity) </w:t>
            </w:r>
          </w:p>
          <w:p w14:paraId="19318054"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The Integrated Supported Employment program combined IPS and work-related social skills training. The main difference with IPS is that it involves 10-session work-related social skills training. The social skill training was provided to participants before obtaining employment. A problem-solving approach was used to help participants handle interpersonal conflicts throughout the follow-up period. </w:t>
            </w:r>
          </w:p>
          <w:p w14:paraId="1B14E5A4" w14:textId="77777777" w:rsidR="00BD1825" w:rsidRPr="00584BCB" w:rsidRDefault="00BD1825" w:rsidP="00BD1825">
            <w:pPr>
              <w:rPr>
                <w:rFonts w:ascii="Rubik" w:hAnsi="Rubik"/>
                <w:color w:val="000000" w:themeColor="text1"/>
                <w:sz w:val="18"/>
                <w:szCs w:val="18"/>
              </w:rPr>
            </w:pPr>
          </w:p>
          <w:p w14:paraId="54330E6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Note: Three registered occupational therapists were employed as employment specialists to implement either the Integrated Supported Employment </w:t>
            </w:r>
            <w:r w:rsidR="003920CC" w:rsidRPr="00584BCB">
              <w:rPr>
                <w:rFonts w:ascii="Rubik" w:hAnsi="Rubik"/>
                <w:color w:val="000000" w:themeColor="text1"/>
                <w:sz w:val="18"/>
                <w:szCs w:val="18"/>
              </w:rPr>
              <w:t xml:space="preserve">(Vocational program) </w:t>
            </w:r>
            <w:r w:rsidRPr="00584BCB">
              <w:rPr>
                <w:rFonts w:ascii="Rubik" w:hAnsi="Rubik"/>
                <w:color w:val="000000" w:themeColor="text1"/>
                <w:sz w:val="18"/>
                <w:szCs w:val="18"/>
              </w:rPr>
              <w:t>or IPS protocol. Training for the employment specialists was provided.</w:t>
            </w:r>
          </w:p>
          <w:p w14:paraId="103C195F" w14:textId="77777777" w:rsidR="000C475B" w:rsidRPr="00584BCB" w:rsidRDefault="000C475B" w:rsidP="00BD1825">
            <w:pPr>
              <w:rPr>
                <w:rFonts w:ascii="Rubik" w:hAnsi="Rubik"/>
                <w:color w:val="000000" w:themeColor="text1"/>
                <w:sz w:val="18"/>
                <w:szCs w:val="18"/>
              </w:rPr>
            </w:pPr>
          </w:p>
          <w:p w14:paraId="0BBA973A" w14:textId="45BD74F1" w:rsidR="000C475B" w:rsidRPr="00584BCB" w:rsidRDefault="000C475B" w:rsidP="00BD1825">
            <w:pPr>
              <w:rPr>
                <w:rFonts w:ascii="Rubik" w:hAnsi="Rubik"/>
                <w:color w:val="000000" w:themeColor="text1"/>
                <w:sz w:val="18"/>
                <w:szCs w:val="18"/>
              </w:rPr>
            </w:pPr>
          </w:p>
        </w:tc>
        <w:tc>
          <w:tcPr>
            <w:tcW w:w="0" w:type="auto"/>
          </w:tcPr>
          <w:p w14:paraId="10484CF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t>
            </w:r>
          </w:p>
          <w:p w14:paraId="2FDAA797"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Participants received comprehensive vocational assessments and pre-vocational training conducted in the vocational rehabilitation centres. Vocational assessments included work samples, vocational interest exploration, and situational vocational assessments. After the establishment of participants’ baseline work performance, pre-vocational training on entry-level job tasks were provided in order to help participants develop specific job skills and work habits. The participants were placed in a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environment in various work groups (e.g. clerical training, computer training, and cleaning training). The aim of the workshop based training was to promote the participants to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workshop or competitive employment. Services were provided by the staff members of service centres providing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vocational training in the community.</w:t>
            </w:r>
          </w:p>
          <w:p w14:paraId="40BD3862" w14:textId="1855D50A" w:rsidR="000C475B" w:rsidRPr="00584BCB" w:rsidRDefault="000C475B" w:rsidP="00BD1825">
            <w:pPr>
              <w:rPr>
                <w:rFonts w:ascii="Rubik" w:hAnsi="Rubik"/>
                <w:color w:val="000000" w:themeColor="text1"/>
                <w:sz w:val="18"/>
                <w:szCs w:val="18"/>
              </w:rPr>
            </w:pPr>
          </w:p>
        </w:tc>
      </w:tr>
      <w:tr w:rsidR="00584BCB" w:rsidRPr="00584BCB" w14:paraId="23FFF32D" w14:textId="77777777" w:rsidTr="00F94ACB">
        <w:tc>
          <w:tcPr>
            <w:tcW w:w="0" w:type="auto"/>
            <w:tcBorders>
              <w:bottom w:val="single" w:sz="4" w:space="0" w:color="auto"/>
            </w:tcBorders>
            <w:hideMark/>
          </w:tcPr>
          <w:p w14:paraId="57FBEDA1"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Twamley 2012</w:t>
            </w:r>
          </w:p>
        </w:tc>
        <w:tc>
          <w:tcPr>
            <w:tcW w:w="0" w:type="auto"/>
            <w:tcBorders>
              <w:bottom w:val="single" w:sz="4" w:space="0" w:color="auto"/>
            </w:tcBorders>
            <w:hideMark/>
          </w:tcPr>
          <w:p w14:paraId="76D81B0B"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(Fair to good IPS fidelity) </w:t>
            </w:r>
          </w:p>
          <w:p w14:paraId="5B9261DE" w14:textId="0AD7B06D"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participants received manualized </w:t>
            </w:r>
            <w:r w:rsidR="003920CC" w:rsidRPr="00584BCB">
              <w:rPr>
                <w:rFonts w:ascii="Rubik" w:hAnsi="Rubik"/>
                <w:color w:val="000000" w:themeColor="text1"/>
                <w:sz w:val="18"/>
                <w:szCs w:val="18"/>
              </w:rPr>
              <w:t>vocational program</w:t>
            </w:r>
            <w:r w:rsidRPr="00584BCB">
              <w:rPr>
                <w:rFonts w:ascii="Rubik" w:hAnsi="Rubik"/>
                <w:color w:val="000000" w:themeColor="text1"/>
                <w:sz w:val="18"/>
                <w:szCs w:val="18"/>
              </w:rPr>
              <w:t xml:space="preserve"> from an employment specialist who had a maximum caseload of 25 participants. Only one employment specialist.</w:t>
            </w:r>
          </w:p>
        </w:tc>
        <w:tc>
          <w:tcPr>
            <w:tcW w:w="0" w:type="auto"/>
            <w:tcBorders>
              <w:bottom w:val="single" w:sz="4" w:space="0" w:color="auto"/>
            </w:tcBorders>
          </w:tcPr>
          <w:p w14:paraId="19C158A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Traditional vocational rehabilitation</w:t>
            </w:r>
          </w:p>
          <w:p w14:paraId="29726100"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Participants were referred to the Department of Rehabilitation for orientation, intake, and eligibility determination. The conventional vocational rehabilitation was a brokered program for individuals with mental illness. Vocational counsellors had caseloads of 35 participants; additional staff provided job-readiness and prevocational coaching/classes.</w:t>
            </w:r>
          </w:p>
        </w:tc>
      </w:tr>
      <w:tr w:rsidR="00584BCB" w:rsidRPr="00584BCB" w14:paraId="1981A9B9" w14:textId="77777777" w:rsidTr="005C3239">
        <w:trPr>
          <w:trHeight w:val="1161"/>
        </w:trPr>
        <w:tc>
          <w:tcPr>
            <w:tcW w:w="0" w:type="auto"/>
            <w:tcBorders>
              <w:bottom w:val="single" w:sz="4" w:space="0" w:color="000000" w:themeColor="text1"/>
            </w:tcBorders>
            <w:hideMark/>
          </w:tcPr>
          <w:p w14:paraId="2D20C557"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Waghorn 2014</w:t>
            </w:r>
          </w:p>
        </w:tc>
        <w:tc>
          <w:tcPr>
            <w:tcW w:w="0" w:type="auto"/>
            <w:tcBorders>
              <w:bottom w:val="single" w:sz="4" w:space="0" w:color="000000" w:themeColor="text1"/>
            </w:tcBorders>
            <w:hideMark/>
          </w:tcPr>
          <w:p w14:paraId="5D3F52B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IPS, (Good fidelity) </w:t>
            </w:r>
          </w:p>
          <w:p w14:paraId="6155854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A full-time employment specialist was trained and employed by the employment service as the sole person delivering vocational services. The employment specialist was co-located at the mental health service four days a week. </w:t>
            </w:r>
          </w:p>
        </w:tc>
        <w:tc>
          <w:tcPr>
            <w:tcW w:w="0" w:type="auto"/>
            <w:tcBorders>
              <w:bottom w:val="single" w:sz="4" w:space="0" w:color="000000" w:themeColor="text1"/>
            </w:tcBorders>
          </w:tcPr>
          <w:p w14:paraId="28E7019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Non-integrated forms of supported employment (Fair IPS fidelity) </w:t>
            </w:r>
          </w:p>
          <w:p w14:paraId="4134969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Mental health case managers referred participants to other disability employment services in the local area. Regular communication with the employment specialist was then encouraged to facilitate participant engagement and to monitor progress. </w:t>
            </w:r>
          </w:p>
        </w:tc>
      </w:tr>
    </w:tbl>
    <w:p w14:paraId="7B245ADF" w14:textId="1B4EBC3F" w:rsidR="008D7089" w:rsidRPr="00584BCB" w:rsidRDefault="008D7089">
      <w:pPr>
        <w:rPr>
          <w:color w:val="000000" w:themeColor="text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3"/>
        <w:tblDescription w:val="This table is a description of interventions in included studies with people with psychosocial disability.&#10;"/>
      </w:tblPr>
      <w:tblGrid>
        <w:gridCol w:w="1239"/>
        <w:gridCol w:w="7285"/>
        <w:gridCol w:w="6876"/>
      </w:tblGrid>
      <w:tr w:rsidR="00584BCB" w:rsidRPr="00584BCB" w14:paraId="524F56A6" w14:textId="77777777" w:rsidTr="00F94ACB">
        <w:trPr>
          <w:trHeight w:val="168"/>
        </w:trPr>
        <w:tc>
          <w:tcPr>
            <w:tcW w:w="0" w:type="auto"/>
            <w:gridSpan w:val="3"/>
            <w:tcBorders>
              <w:top w:val="nil"/>
              <w:left w:val="nil"/>
              <w:right w:val="nil"/>
            </w:tcBorders>
          </w:tcPr>
          <w:p w14:paraId="57F0F762" w14:textId="72CE9B2F" w:rsidR="00EE0B7F" w:rsidRPr="00584BCB" w:rsidRDefault="00F94ACB" w:rsidP="00BD1825">
            <w:pPr>
              <w:rPr>
                <w:rFonts w:ascii="Rubik" w:hAnsi="Rubik"/>
                <w:color w:val="000000" w:themeColor="text1"/>
                <w:sz w:val="22"/>
              </w:rPr>
            </w:pPr>
            <w:r w:rsidRPr="00584BCB">
              <w:rPr>
                <w:rFonts w:ascii="Rubik" w:hAnsi="Rubik"/>
                <w:b/>
                <w:bCs/>
                <w:color w:val="000000" w:themeColor="text1"/>
                <w:sz w:val="22"/>
              </w:rPr>
              <w:lastRenderedPageBreak/>
              <w:t>Table 3. Descriptions of Interventions in included studies with people with psychosocial disability (continued)</w:t>
            </w:r>
          </w:p>
        </w:tc>
      </w:tr>
      <w:tr w:rsidR="00584BCB" w:rsidRPr="00584BCB" w14:paraId="7B6D21CE" w14:textId="77777777" w:rsidTr="0075350B">
        <w:tc>
          <w:tcPr>
            <w:tcW w:w="0" w:type="auto"/>
            <w:shd w:val="clear" w:color="auto" w:fill="7EA4A4"/>
            <w:noWrap/>
            <w:hideMark/>
          </w:tcPr>
          <w:p w14:paraId="55555E09" w14:textId="77777777" w:rsidR="00F94ACB" w:rsidRPr="00584BCB" w:rsidRDefault="00F94ACB" w:rsidP="00F94ACB">
            <w:pPr>
              <w:rPr>
                <w:rFonts w:ascii="Rubik" w:hAnsi="Rubik"/>
                <w:i/>
                <w:iCs/>
                <w:color w:val="000000" w:themeColor="text1"/>
                <w:szCs w:val="20"/>
              </w:rPr>
            </w:pPr>
            <w:r w:rsidRPr="00584BCB">
              <w:rPr>
                <w:rFonts w:ascii="Rubik" w:hAnsi="Rubik"/>
                <w:i/>
                <w:iCs/>
                <w:color w:val="000000" w:themeColor="text1"/>
                <w:szCs w:val="20"/>
              </w:rPr>
              <w:t>Study</w:t>
            </w:r>
          </w:p>
        </w:tc>
        <w:tc>
          <w:tcPr>
            <w:tcW w:w="0" w:type="auto"/>
            <w:shd w:val="clear" w:color="auto" w:fill="7EA4A4"/>
            <w:noWrap/>
            <w:hideMark/>
          </w:tcPr>
          <w:p w14:paraId="4705732F" w14:textId="77777777" w:rsidR="00F94ACB" w:rsidRPr="00584BCB" w:rsidRDefault="00F94ACB" w:rsidP="00F94ACB">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0" w:type="auto"/>
            <w:shd w:val="clear" w:color="auto" w:fill="7EA4A4"/>
          </w:tcPr>
          <w:p w14:paraId="3720ABD7" w14:textId="77777777" w:rsidR="00F94ACB" w:rsidRPr="00584BCB" w:rsidRDefault="00F94ACB" w:rsidP="00F94ACB">
            <w:pPr>
              <w:rPr>
                <w:rFonts w:ascii="Rubik" w:hAnsi="Rubik"/>
                <w:i/>
                <w:iCs/>
                <w:color w:val="000000" w:themeColor="text1"/>
                <w:szCs w:val="20"/>
              </w:rPr>
            </w:pPr>
            <w:r w:rsidRPr="00584BCB">
              <w:rPr>
                <w:rFonts w:ascii="Rubik" w:hAnsi="Rubik"/>
                <w:i/>
                <w:iCs/>
                <w:color w:val="000000" w:themeColor="text1"/>
                <w:szCs w:val="20"/>
              </w:rPr>
              <w:t>Control / Comparator</w:t>
            </w:r>
          </w:p>
        </w:tc>
      </w:tr>
      <w:tr w:rsidR="00584BCB" w:rsidRPr="00584BCB" w14:paraId="109FCED5" w14:textId="77777777" w:rsidTr="00F94ACB">
        <w:trPr>
          <w:cantSplit/>
          <w:trHeight w:val="4216"/>
        </w:trPr>
        <w:tc>
          <w:tcPr>
            <w:tcW w:w="0" w:type="auto"/>
            <w:hideMark/>
          </w:tcPr>
          <w:p w14:paraId="1E58DEA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Yamaguchi 2017</w:t>
            </w:r>
          </w:p>
        </w:tc>
        <w:tc>
          <w:tcPr>
            <w:tcW w:w="0" w:type="auto"/>
            <w:shd w:val="clear" w:color="auto" w:fill="auto"/>
            <w:hideMark/>
          </w:tcPr>
          <w:p w14:paraId="526241DF"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Cognitive remediation and supported employment</w:t>
            </w:r>
          </w:p>
          <w:p w14:paraId="1E85F15D" w14:textId="4E5A9C81"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Participants received cognitive remediation in psychiatric day-care or community employment service agencies during the first 3 or 4 months. Psychiatric day-care provides social skills, recreation and a daytime place to stay. </w:t>
            </w:r>
            <w:r w:rsidR="00E448DB" w:rsidRPr="00584BCB">
              <w:rPr>
                <w:rFonts w:ascii="Rubik" w:hAnsi="Rubik"/>
                <w:color w:val="000000" w:themeColor="text1"/>
                <w:sz w:val="18"/>
                <w:szCs w:val="18"/>
              </w:rPr>
              <w:t>However,</w:t>
            </w:r>
            <w:r w:rsidRPr="00584BCB">
              <w:rPr>
                <w:rFonts w:ascii="Rubik" w:hAnsi="Rubik"/>
                <w:color w:val="000000" w:themeColor="text1"/>
                <w:sz w:val="18"/>
                <w:szCs w:val="18"/>
              </w:rPr>
              <w:t xml:space="preserve"> it does not focus on employment services, acute care to prevent hospital admission, or care for people with severe mental illness. Community employment service agencies provide a group-based work readiness training for people with mental illness before they undergo a job </w:t>
            </w:r>
            <w:r w:rsidR="00E448DB" w:rsidRPr="00584BCB">
              <w:rPr>
                <w:rFonts w:ascii="Rubik" w:hAnsi="Rubik"/>
                <w:color w:val="000000" w:themeColor="text1"/>
                <w:sz w:val="18"/>
                <w:szCs w:val="18"/>
              </w:rPr>
              <w:t>search and</w:t>
            </w:r>
            <w:r w:rsidRPr="00584BCB">
              <w:rPr>
                <w:rFonts w:ascii="Rubik" w:hAnsi="Rubik"/>
                <w:color w:val="000000" w:themeColor="text1"/>
                <w:sz w:val="18"/>
                <w:szCs w:val="18"/>
              </w:rPr>
              <w:t xml:space="preserve"> are not integrated with medical services. The programme involved two CogPack sessions per week over 12 weeks (24 sessions in total).  Tasks were related to attention, concentration, psycho-motor speed, learning, memory and executive functions. In addition, participants had 1-hour verbal group sessions each week following one of CogPack sessions (total: 12 sessions). They discussed the importance of cognitive skills, performing activities of daily living and the development of compensatory strategies for managing persistent cognitive problems, to bridge individuals’ learning outcomes in the computer-based cognitive remediation programme and social/employment skills in their lives. </w:t>
            </w:r>
            <w:r w:rsidR="00B44C30" w:rsidRPr="00584BCB">
              <w:rPr>
                <w:rFonts w:ascii="Rubik" w:hAnsi="Rubik"/>
                <w:color w:val="000000" w:themeColor="text1"/>
                <w:sz w:val="18"/>
                <w:szCs w:val="18"/>
              </w:rPr>
              <w:t>Vocational programs</w:t>
            </w:r>
            <w:r w:rsidRPr="00584BCB">
              <w:rPr>
                <w:rFonts w:ascii="Rubik" w:hAnsi="Rubik"/>
                <w:color w:val="000000" w:themeColor="text1"/>
                <w:sz w:val="18"/>
                <w:szCs w:val="18"/>
              </w:rPr>
              <w:t xml:space="preserve"> were provided to participants after completion of cognitive remediation. In this study, these services partly incorporated the service principals of the IPS model. The </w:t>
            </w:r>
            <w:r w:rsidR="00B44C30" w:rsidRPr="00584BCB">
              <w:rPr>
                <w:rFonts w:ascii="Rubik" w:hAnsi="Rubik"/>
                <w:color w:val="000000" w:themeColor="text1"/>
                <w:sz w:val="18"/>
                <w:szCs w:val="18"/>
              </w:rPr>
              <w:t>vocational</w:t>
            </w:r>
            <w:r w:rsidRPr="00584BCB">
              <w:rPr>
                <w:rFonts w:ascii="Rubik" w:hAnsi="Rubik"/>
                <w:color w:val="000000" w:themeColor="text1"/>
                <w:sz w:val="18"/>
                <w:szCs w:val="18"/>
              </w:rPr>
              <w:t xml:space="preserve"> program was not IPS model due to unique employment laws in Japan, and the IPS fidelity scale was not used. During the study period, the staff received the 1-day training for five times to learn skills for cognitive remediation and </w:t>
            </w:r>
            <w:r w:rsidR="00322EBC" w:rsidRPr="00584BCB">
              <w:rPr>
                <w:rFonts w:ascii="Rubik" w:hAnsi="Rubik"/>
                <w:color w:val="000000" w:themeColor="text1"/>
                <w:sz w:val="18"/>
                <w:szCs w:val="18"/>
              </w:rPr>
              <w:t>vocational program</w:t>
            </w:r>
            <w:r w:rsidRPr="00584BCB">
              <w:rPr>
                <w:rFonts w:ascii="Rubik" w:hAnsi="Rubik"/>
                <w:color w:val="000000" w:themeColor="text1"/>
                <w:sz w:val="18"/>
                <w:szCs w:val="18"/>
              </w:rPr>
              <w:t>.</w:t>
            </w:r>
          </w:p>
        </w:tc>
        <w:tc>
          <w:tcPr>
            <w:tcW w:w="0" w:type="auto"/>
            <w:shd w:val="clear" w:color="auto" w:fill="auto"/>
          </w:tcPr>
          <w:p w14:paraId="13893F1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Traditional vocational rehabilitation </w:t>
            </w:r>
          </w:p>
          <w:p w14:paraId="5A9E346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The usual employment services currently used in Japan are based on the brokerage care management model. The care managers in the hospitals met the participants at least once a month and engaged with them and with community facilities that provided the traditional employment services. Most such facilities in Japan employ the train-then-place/step-wise model that attempts to improve work-readiness in people with mental illness and supplies training and simple tasks before actual job hunting.</w:t>
            </w:r>
          </w:p>
          <w:p w14:paraId="498AF429" w14:textId="77777777" w:rsidR="00526F46" w:rsidRPr="00584BCB" w:rsidRDefault="00526F46" w:rsidP="00BD1825">
            <w:pPr>
              <w:rPr>
                <w:rFonts w:ascii="Rubik" w:hAnsi="Rubik"/>
                <w:color w:val="000000" w:themeColor="text1"/>
                <w:sz w:val="18"/>
                <w:szCs w:val="18"/>
              </w:rPr>
            </w:pPr>
          </w:p>
          <w:p w14:paraId="72C5B0E5" w14:textId="77777777" w:rsidR="00526F46" w:rsidRPr="00584BCB" w:rsidRDefault="00526F46" w:rsidP="00526F46">
            <w:pPr>
              <w:rPr>
                <w:rFonts w:ascii="Rubik" w:hAnsi="Rubik"/>
                <w:color w:val="000000" w:themeColor="text1"/>
                <w:sz w:val="18"/>
                <w:szCs w:val="18"/>
              </w:rPr>
            </w:pPr>
            <w:r w:rsidRPr="00584BCB">
              <w:rPr>
                <w:rFonts w:ascii="Rubik" w:hAnsi="Rubik"/>
                <w:color w:val="000000" w:themeColor="text1"/>
                <w:sz w:val="18"/>
                <w:szCs w:val="18"/>
              </w:rPr>
              <w:br/>
              <w:t xml:space="preserve">IPS: Individual Placement and Support; Note: IPS is described in the first instance only but any study-specific information about intervention has been included </w:t>
            </w:r>
          </w:p>
          <w:p w14:paraId="13467269" w14:textId="024C70AB" w:rsidR="00526F46" w:rsidRPr="00584BCB" w:rsidRDefault="00526F46" w:rsidP="00BD1825">
            <w:pPr>
              <w:rPr>
                <w:rFonts w:ascii="Rubik" w:hAnsi="Rubik"/>
                <w:color w:val="000000" w:themeColor="text1"/>
                <w:sz w:val="18"/>
                <w:szCs w:val="18"/>
              </w:rPr>
            </w:pPr>
          </w:p>
        </w:tc>
      </w:tr>
    </w:tbl>
    <w:p w14:paraId="58063D75" w14:textId="19F92F3C" w:rsidR="00BD1825" w:rsidRPr="00584BCB" w:rsidRDefault="00E448DB" w:rsidP="00BD1825">
      <w:pPr>
        <w:rPr>
          <w:rFonts w:ascii="Rubik" w:hAnsi="Rubik"/>
          <w:color w:val="000000" w:themeColor="text1"/>
          <w:szCs w:val="20"/>
        </w:rPr>
      </w:pPr>
      <w:r w:rsidRPr="00584BCB">
        <w:rPr>
          <w:rFonts w:ascii="Rubik" w:hAnsi="Rubik"/>
          <w:color w:val="000000" w:themeColor="text1"/>
          <w:szCs w:val="20"/>
        </w:rPr>
        <w:t xml:space="preserve">Key: </w:t>
      </w:r>
      <w:r w:rsidR="003E4CDB" w:rsidRPr="00584BCB">
        <w:rPr>
          <w:rFonts w:ascii="Rubik" w:hAnsi="Rubik"/>
          <w:color w:val="000000" w:themeColor="text1"/>
          <w:szCs w:val="20"/>
        </w:rPr>
        <w:t>FTE=full time equivalent, IPS is individual placement and support</w:t>
      </w:r>
    </w:p>
    <w:p w14:paraId="02709683" w14:textId="77777777" w:rsidR="00BD1825" w:rsidRPr="00584BCB" w:rsidRDefault="00BD1825" w:rsidP="0076181F">
      <w:pPr>
        <w:pStyle w:val="Caption"/>
        <w:rPr>
          <w:rFonts w:ascii="Rubik" w:hAnsi="Rubik"/>
          <w:b w:val="0"/>
          <w:color w:val="000000" w:themeColor="text1"/>
          <w:sz w:val="22"/>
          <w:szCs w:val="22"/>
        </w:rPr>
      </w:pPr>
      <w:r w:rsidRPr="00584BCB">
        <w:rPr>
          <w:rFonts w:ascii="Rubik" w:hAnsi="Rubik"/>
          <w:b w:val="0"/>
          <w:color w:val="000000" w:themeColor="text1"/>
          <w:sz w:val="20"/>
          <w:szCs w:val="20"/>
        </w:rPr>
        <w:br w:type="page"/>
      </w:r>
      <w:r w:rsidRPr="00584BCB">
        <w:rPr>
          <w:rFonts w:ascii="Rubik" w:hAnsi="Rubik"/>
          <w:bCs/>
          <w:color w:val="000000" w:themeColor="text1"/>
          <w:sz w:val="22"/>
          <w:szCs w:val="22"/>
        </w:rPr>
        <w:lastRenderedPageBreak/>
        <w:t>Table 4. Descriptions of Interventions in included studies with people with autism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4. "/>
        <w:tblDescription w:val="This table describes interventions in included studies with people with autism."/>
      </w:tblPr>
      <w:tblGrid>
        <w:gridCol w:w="1880"/>
        <w:gridCol w:w="9425"/>
        <w:gridCol w:w="4085"/>
      </w:tblGrid>
      <w:tr w:rsidR="00584BCB" w:rsidRPr="00584BCB" w14:paraId="1C564BD2" w14:textId="77777777" w:rsidTr="00BF49AC">
        <w:trPr>
          <w:trHeight w:val="161"/>
        </w:trPr>
        <w:tc>
          <w:tcPr>
            <w:tcW w:w="611" w:type="pct"/>
            <w:shd w:val="clear" w:color="auto" w:fill="7EA4A4"/>
            <w:noWrap/>
            <w:hideMark/>
          </w:tcPr>
          <w:p w14:paraId="344ACD5F"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Study</w:t>
            </w:r>
          </w:p>
        </w:tc>
        <w:tc>
          <w:tcPr>
            <w:tcW w:w="3062" w:type="pct"/>
            <w:shd w:val="clear" w:color="auto" w:fill="7EA4A4"/>
            <w:noWrap/>
            <w:hideMark/>
          </w:tcPr>
          <w:p w14:paraId="34B58EAE"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1327" w:type="pct"/>
            <w:shd w:val="clear" w:color="auto" w:fill="7EA4A4"/>
          </w:tcPr>
          <w:p w14:paraId="342F7989" w14:textId="77777777" w:rsidR="00BD1825" w:rsidRPr="00584BCB" w:rsidRDefault="00BD1825" w:rsidP="72822302">
            <w:pPr>
              <w:rPr>
                <w:rFonts w:ascii="Rubik" w:hAnsi="Rubik"/>
                <w:i/>
                <w:iCs/>
                <w:color w:val="000000" w:themeColor="text1"/>
                <w:szCs w:val="20"/>
              </w:rPr>
            </w:pPr>
            <w:r w:rsidRPr="00584BCB">
              <w:rPr>
                <w:rFonts w:ascii="Rubik" w:hAnsi="Rubik"/>
                <w:i/>
                <w:iCs/>
                <w:color w:val="000000" w:themeColor="text1"/>
                <w:szCs w:val="20"/>
              </w:rPr>
              <w:t>Control/ Comparator</w:t>
            </w:r>
          </w:p>
        </w:tc>
      </w:tr>
      <w:tr w:rsidR="00BD1825" w:rsidRPr="00584BCB" w14:paraId="62EE2746" w14:textId="77777777" w:rsidTr="00F94ACB">
        <w:trPr>
          <w:cantSplit/>
          <w:trHeight w:val="850"/>
        </w:trPr>
        <w:tc>
          <w:tcPr>
            <w:tcW w:w="611" w:type="pct"/>
            <w:hideMark/>
          </w:tcPr>
          <w:p w14:paraId="35A782F8"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Wehman 2014, Wehman 2017</w:t>
            </w:r>
          </w:p>
        </w:tc>
        <w:tc>
          <w:tcPr>
            <w:tcW w:w="3062" w:type="pct"/>
            <w:hideMark/>
          </w:tcPr>
          <w:p w14:paraId="7658291A"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Project SEARCH plus ASD supports</w:t>
            </w:r>
          </w:p>
          <w:p w14:paraId="2F2DAF73" w14:textId="25C28D09"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Project SEARCH is an intensive job training program where youth with developmental </w:t>
            </w:r>
            <w:r w:rsidR="000823D5" w:rsidRPr="00584BCB">
              <w:rPr>
                <w:rFonts w:ascii="Rubik" w:hAnsi="Rubik"/>
                <w:color w:val="000000" w:themeColor="text1"/>
                <w:sz w:val="18"/>
                <w:szCs w:val="18"/>
              </w:rPr>
              <w:t>disability</w:t>
            </w:r>
            <w:r w:rsidRPr="00584BCB">
              <w:rPr>
                <w:rFonts w:ascii="Rubik" w:hAnsi="Rubik"/>
                <w:color w:val="000000" w:themeColor="text1"/>
                <w:sz w:val="18"/>
                <w:szCs w:val="18"/>
              </w:rPr>
              <w:t xml:space="preserve"> in their final year of secondary school are placed in a large community business (</w:t>
            </w:r>
            <w:r w:rsidR="00E448DB" w:rsidRPr="00584BCB">
              <w:rPr>
                <w:rFonts w:ascii="Rubik" w:hAnsi="Rubik"/>
                <w:color w:val="000000" w:themeColor="text1"/>
                <w:sz w:val="18"/>
                <w:szCs w:val="18"/>
              </w:rPr>
              <w:t>e.g.,</w:t>
            </w:r>
            <w:r w:rsidRPr="00584BCB">
              <w:rPr>
                <w:rFonts w:ascii="Rubik" w:hAnsi="Rubik"/>
                <w:color w:val="000000" w:themeColor="text1"/>
                <w:sz w:val="18"/>
                <w:szCs w:val="18"/>
              </w:rPr>
              <w:t xml:space="preserve"> hospital, government complex or banking centre). The program comprised an internship portion with </w:t>
            </w:r>
            <w:r w:rsidR="00B87273" w:rsidRPr="00584BCB">
              <w:rPr>
                <w:rFonts w:ascii="Rubik" w:hAnsi="Rubik"/>
                <w:color w:val="000000" w:themeColor="text1"/>
                <w:sz w:val="18"/>
                <w:szCs w:val="18"/>
              </w:rPr>
              <w:t>vocational program</w:t>
            </w:r>
            <w:r w:rsidRPr="00584BCB">
              <w:rPr>
                <w:rFonts w:ascii="Rubik" w:hAnsi="Rubik"/>
                <w:color w:val="000000" w:themeColor="text1"/>
                <w:sz w:val="18"/>
                <w:szCs w:val="18"/>
              </w:rPr>
              <w:t xml:space="preserve"> and a classroom portion with educational supports. Student logged approximately 720 hours of internship time and 180 hours of classroom time at the business for a total of 900 hours in the business setting. Students rotate through three 10–</w:t>
            </w:r>
            <w:r w:rsidR="00E448DB" w:rsidRPr="00584BCB">
              <w:rPr>
                <w:rFonts w:ascii="Rubik" w:hAnsi="Rubik"/>
                <w:color w:val="000000" w:themeColor="text1"/>
                <w:sz w:val="18"/>
                <w:szCs w:val="18"/>
              </w:rPr>
              <w:t>12-week</w:t>
            </w:r>
            <w:r w:rsidRPr="00584BCB">
              <w:rPr>
                <w:rFonts w:ascii="Rubik" w:hAnsi="Rubik"/>
                <w:color w:val="000000" w:themeColor="text1"/>
                <w:sz w:val="18"/>
                <w:szCs w:val="18"/>
              </w:rPr>
              <w:t xml:space="preserve"> internships within the business while receiving supported employment. The four phases of </w:t>
            </w:r>
            <w:r w:rsidR="00D246C8" w:rsidRPr="00584BCB">
              <w:rPr>
                <w:rFonts w:ascii="Rubik" w:hAnsi="Rubik"/>
                <w:color w:val="000000" w:themeColor="text1"/>
                <w:sz w:val="18"/>
                <w:szCs w:val="18"/>
              </w:rPr>
              <w:t>the program</w:t>
            </w:r>
            <w:r w:rsidRPr="00584BCB">
              <w:rPr>
                <w:rFonts w:ascii="Rubik" w:hAnsi="Rubik"/>
                <w:color w:val="000000" w:themeColor="text1"/>
                <w:sz w:val="18"/>
                <w:szCs w:val="18"/>
              </w:rPr>
              <w:t xml:space="preserve"> include: (1) job seeker profile, (2) job development, (3) job site training, and (4) long-term supports. </w:t>
            </w:r>
            <w:r w:rsidR="00D246C8" w:rsidRPr="00584BCB">
              <w:rPr>
                <w:rFonts w:ascii="Rubik" w:hAnsi="Rubik"/>
                <w:color w:val="000000" w:themeColor="text1"/>
                <w:sz w:val="18"/>
                <w:szCs w:val="18"/>
              </w:rPr>
              <w:t>The program</w:t>
            </w:r>
            <w:r w:rsidRPr="00584BCB">
              <w:rPr>
                <w:rFonts w:ascii="Rubik" w:hAnsi="Rubik"/>
                <w:color w:val="000000" w:themeColor="text1"/>
                <w:sz w:val="18"/>
                <w:szCs w:val="18"/>
              </w:rPr>
              <w:t xml:space="preserve"> is a highly individualised approach that allows for time-unlimited services. Additional supports for individuals with ASD were added to Project SEARCH. The applied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analytic techniques used included the use of scored task analyses for teaching multistep tasks, structured repeated trials for discrete tasks, behavioural rehearsal for specific social skills, visual and self-directed prompting procedures for transitioning, self-management procedures for behavioural challenges, and reinforcement for appropriate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Participants with ASD were provided assistance to understand common work statements in behavioural terms. When a student displayed problem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a functional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assessment was </w:t>
            </w:r>
            <w:r w:rsidR="00E448DB" w:rsidRPr="00584BCB">
              <w:rPr>
                <w:rFonts w:ascii="Rubik" w:hAnsi="Rubik"/>
                <w:color w:val="000000" w:themeColor="text1"/>
                <w:sz w:val="18"/>
                <w:szCs w:val="18"/>
              </w:rPr>
              <w:t>completed,</w:t>
            </w:r>
            <w:r w:rsidRPr="00584BCB">
              <w:rPr>
                <w:rFonts w:ascii="Rubik" w:hAnsi="Rubik"/>
                <w:color w:val="000000" w:themeColor="text1"/>
                <w:sz w:val="18"/>
                <w:szCs w:val="18"/>
              </w:rPr>
              <w:t xml:space="preserve"> and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intervention plans were implemented to address the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Customised employment was used to analyse workplace tasks and identify which tasks were most suited to the strengths of participants with autism. Staff members received additional training in the needs of transition-aged youth with ASD. The staffing ratio was two/ two-and-a-half interns to one staff member.</w:t>
            </w:r>
          </w:p>
        </w:tc>
        <w:tc>
          <w:tcPr>
            <w:tcW w:w="1327" w:type="pct"/>
          </w:tcPr>
          <w:p w14:paraId="06B0A2E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High school special education services as usual</w:t>
            </w:r>
          </w:p>
          <w:p w14:paraId="416710E6" w14:textId="25A5F3C0"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Regular high school special education program as identified in their individualised education programs. These plans typically include an array of related services including special education, one-on-one instruction, and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management from a paraprofessional assistant, speech and language therapy, occupational therapy, social skills training, and limited vocational training. Students also had access to vocational rehabilitation services like those in the treatment group.</w:t>
            </w:r>
          </w:p>
          <w:p w14:paraId="593A5ED4" w14:textId="77777777" w:rsidR="008310AD" w:rsidRPr="00584BCB" w:rsidRDefault="008310AD" w:rsidP="00BD1825">
            <w:pPr>
              <w:rPr>
                <w:rFonts w:ascii="Rubik" w:hAnsi="Rubik"/>
                <w:color w:val="000000" w:themeColor="text1"/>
                <w:sz w:val="18"/>
                <w:szCs w:val="18"/>
              </w:rPr>
            </w:pPr>
          </w:p>
          <w:p w14:paraId="2A00273D" w14:textId="77777777" w:rsidR="00BD1825" w:rsidRPr="00584BCB" w:rsidRDefault="00BD1825" w:rsidP="00BD1825">
            <w:pPr>
              <w:rPr>
                <w:rFonts w:ascii="Rubik" w:hAnsi="Rubik"/>
                <w:color w:val="000000" w:themeColor="text1"/>
                <w:sz w:val="18"/>
                <w:szCs w:val="18"/>
              </w:rPr>
            </w:pPr>
          </w:p>
        </w:tc>
      </w:tr>
    </w:tbl>
    <w:p w14:paraId="62D22225" w14:textId="3274C0C8" w:rsidR="008310AD" w:rsidRPr="00584BCB" w:rsidRDefault="008310AD">
      <w:pPr>
        <w:rPr>
          <w:color w:val="000000" w:themeColor="text1"/>
        </w:rPr>
      </w:pPr>
    </w:p>
    <w:p w14:paraId="39BF20F1" w14:textId="77777777" w:rsidR="008310AD" w:rsidRPr="00584BCB" w:rsidRDefault="008310AD">
      <w:pPr>
        <w:rPr>
          <w:color w:val="000000" w:themeColor="text1"/>
        </w:rPr>
        <w:sectPr w:rsidR="008310AD" w:rsidRPr="00584BCB" w:rsidSect="004524C0">
          <w:pgSz w:w="16840" w:h="11900" w:orient="landscape"/>
          <w:pgMar w:top="720" w:right="720" w:bottom="720" w:left="720" w:header="720" w:footer="720" w:gutter="0"/>
          <w:cols w:space="720"/>
          <w:docGrid w:linePitch="299"/>
        </w:sectPr>
      </w:pPr>
    </w:p>
    <w:p w14:paraId="23F90331" w14:textId="5DF1146B" w:rsidR="008310AD" w:rsidRPr="00584BCB" w:rsidRDefault="008310AD">
      <w:pPr>
        <w:rPr>
          <w:b/>
          <w:color w:val="000000" w:themeColor="text1"/>
          <w:sz w:val="22"/>
        </w:rPr>
      </w:pPr>
      <w:r w:rsidRPr="00584BCB">
        <w:rPr>
          <w:rFonts w:ascii="Rubik" w:hAnsi="Rubik"/>
          <w:b/>
          <w:color w:val="000000" w:themeColor="text1"/>
          <w:sz w:val="22"/>
        </w:rPr>
        <w:lastRenderedPageBreak/>
        <w:t>Table 4. Descriptions of Interventions in included studies with people with autism (</w:t>
      </w:r>
      <w:r w:rsidR="009340DA" w:rsidRPr="00584BCB">
        <w:rPr>
          <w:rFonts w:ascii="Rubik" w:hAnsi="Rubik"/>
          <w:b/>
          <w:color w:val="000000" w:themeColor="text1"/>
          <w:sz w:val="22"/>
        </w:rPr>
        <w:t>c</w:t>
      </w:r>
      <w:r w:rsidRPr="00584BCB">
        <w:rPr>
          <w:rFonts w:ascii="Rubik" w:hAnsi="Rubik"/>
          <w:b/>
          <w:color w:val="000000" w:themeColor="text1"/>
          <w:sz w:val="22"/>
        </w:rPr>
        <w:t>ontinued)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4A0" w:firstRow="1" w:lastRow="0" w:firstColumn="1" w:lastColumn="0" w:noHBand="0" w:noVBand="1"/>
        <w:tblCaption w:val="Table 4"/>
        <w:tblDescription w:val="This table describes interventions in included studies with people with autism."/>
      </w:tblPr>
      <w:tblGrid>
        <w:gridCol w:w="1880"/>
        <w:gridCol w:w="9425"/>
        <w:gridCol w:w="4085"/>
      </w:tblGrid>
      <w:tr w:rsidR="00584BCB" w:rsidRPr="00584BCB" w14:paraId="7DC4EAB7" w14:textId="77777777" w:rsidTr="00BF49AC">
        <w:trPr>
          <w:trHeight w:val="161"/>
        </w:trPr>
        <w:tc>
          <w:tcPr>
            <w:tcW w:w="611" w:type="pct"/>
            <w:shd w:val="clear" w:color="auto" w:fill="7EA4A4"/>
            <w:noWrap/>
            <w:hideMark/>
          </w:tcPr>
          <w:p w14:paraId="3F4F5BC7" w14:textId="77777777" w:rsidR="008310AD" w:rsidRPr="00584BCB" w:rsidRDefault="008310AD" w:rsidP="0075350B">
            <w:pPr>
              <w:rPr>
                <w:rFonts w:ascii="Rubik" w:hAnsi="Rubik"/>
                <w:i/>
                <w:iCs/>
                <w:color w:val="000000" w:themeColor="text1"/>
                <w:szCs w:val="20"/>
              </w:rPr>
            </w:pPr>
            <w:r w:rsidRPr="00584BCB">
              <w:rPr>
                <w:rFonts w:ascii="Rubik" w:hAnsi="Rubik"/>
                <w:i/>
                <w:iCs/>
                <w:color w:val="000000" w:themeColor="text1"/>
                <w:szCs w:val="20"/>
              </w:rPr>
              <w:t>Study</w:t>
            </w:r>
          </w:p>
        </w:tc>
        <w:tc>
          <w:tcPr>
            <w:tcW w:w="3062" w:type="pct"/>
            <w:shd w:val="clear" w:color="auto" w:fill="7EA4A4"/>
            <w:noWrap/>
            <w:hideMark/>
          </w:tcPr>
          <w:p w14:paraId="6280AEB1" w14:textId="77777777" w:rsidR="008310AD" w:rsidRPr="00584BCB" w:rsidRDefault="008310AD" w:rsidP="0075350B">
            <w:pPr>
              <w:rPr>
                <w:rFonts w:ascii="Rubik" w:hAnsi="Rubik"/>
                <w:i/>
                <w:iCs/>
                <w:color w:val="000000" w:themeColor="text1"/>
                <w:szCs w:val="20"/>
              </w:rPr>
            </w:pPr>
            <w:r w:rsidRPr="00584BCB">
              <w:rPr>
                <w:rFonts w:ascii="Rubik" w:hAnsi="Rubik"/>
                <w:i/>
                <w:iCs/>
                <w:color w:val="000000" w:themeColor="text1"/>
                <w:szCs w:val="20"/>
              </w:rPr>
              <w:t xml:space="preserve">Interventions </w:t>
            </w:r>
          </w:p>
        </w:tc>
        <w:tc>
          <w:tcPr>
            <w:tcW w:w="1327" w:type="pct"/>
            <w:shd w:val="clear" w:color="auto" w:fill="7EA4A4"/>
          </w:tcPr>
          <w:p w14:paraId="7DBAAE7D" w14:textId="77777777" w:rsidR="008310AD" w:rsidRPr="00584BCB" w:rsidRDefault="008310AD" w:rsidP="0075350B">
            <w:pPr>
              <w:rPr>
                <w:rFonts w:ascii="Rubik" w:hAnsi="Rubik"/>
                <w:i/>
                <w:iCs/>
                <w:color w:val="000000" w:themeColor="text1"/>
                <w:szCs w:val="20"/>
              </w:rPr>
            </w:pPr>
            <w:r w:rsidRPr="00584BCB">
              <w:rPr>
                <w:rFonts w:ascii="Rubik" w:hAnsi="Rubik"/>
                <w:i/>
                <w:iCs/>
                <w:color w:val="000000" w:themeColor="text1"/>
                <w:szCs w:val="20"/>
              </w:rPr>
              <w:t>Control/ Comparator</w:t>
            </w:r>
          </w:p>
        </w:tc>
      </w:tr>
      <w:tr w:rsidR="00584BCB" w:rsidRPr="00584BCB" w14:paraId="1487C5B2" w14:textId="77777777" w:rsidTr="00F94ACB">
        <w:trPr>
          <w:cantSplit/>
          <w:trHeight w:val="850"/>
        </w:trPr>
        <w:tc>
          <w:tcPr>
            <w:tcW w:w="611" w:type="pct"/>
            <w:hideMark/>
          </w:tcPr>
          <w:p w14:paraId="656599A5"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Wehman 2020</w:t>
            </w:r>
          </w:p>
        </w:tc>
        <w:tc>
          <w:tcPr>
            <w:tcW w:w="3062" w:type="pct"/>
            <w:hideMark/>
          </w:tcPr>
          <w:p w14:paraId="05C43A64"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Project SEARCH plus ASD Supports </w:t>
            </w:r>
          </w:p>
          <w:p w14:paraId="5400D3F0" w14:textId="73528B8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Project SEARCH is a job training program where students with autism spend </w:t>
            </w:r>
            <w:r w:rsidR="00A01871" w:rsidRPr="00584BCB">
              <w:rPr>
                <w:rFonts w:ascii="Rubik" w:hAnsi="Rubik"/>
                <w:color w:val="000000" w:themeColor="text1"/>
                <w:sz w:val="18"/>
                <w:szCs w:val="18"/>
              </w:rPr>
              <w:t>their final</w:t>
            </w:r>
            <w:r w:rsidRPr="00584BCB">
              <w:rPr>
                <w:rFonts w:ascii="Rubik" w:hAnsi="Rubik"/>
                <w:color w:val="000000" w:themeColor="text1"/>
                <w:sz w:val="18"/>
                <w:szCs w:val="18"/>
              </w:rPr>
              <w:t xml:space="preserve"> year of secondary school in a combination classroom and internship program located in a large community business.  Participants rotated through three 10–</w:t>
            </w:r>
            <w:r w:rsidR="00A01871" w:rsidRPr="00584BCB">
              <w:rPr>
                <w:rFonts w:ascii="Rubik" w:hAnsi="Rubik"/>
                <w:color w:val="000000" w:themeColor="text1"/>
                <w:sz w:val="18"/>
                <w:szCs w:val="18"/>
              </w:rPr>
              <w:t>12-week</w:t>
            </w:r>
            <w:r w:rsidRPr="00584BCB">
              <w:rPr>
                <w:rFonts w:ascii="Rubik" w:hAnsi="Rubik"/>
                <w:color w:val="000000" w:themeColor="text1"/>
                <w:sz w:val="18"/>
                <w:szCs w:val="18"/>
              </w:rPr>
              <w:t xml:space="preserve"> internships to learn marketable skills. Participants received their entire school week in </w:t>
            </w:r>
            <w:r w:rsidR="00A01871" w:rsidRPr="00584BCB">
              <w:rPr>
                <w:rFonts w:ascii="Rubik" w:hAnsi="Rubik"/>
                <w:color w:val="000000" w:themeColor="text1"/>
                <w:sz w:val="18"/>
                <w:szCs w:val="18"/>
              </w:rPr>
              <w:t>community-based</w:t>
            </w:r>
            <w:r w:rsidRPr="00584BCB">
              <w:rPr>
                <w:rFonts w:ascii="Rubik" w:hAnsi="Rubik"/>
                <w:color w:val="000000" w:themeColor="text1"/>
                <w:sz w:val="18"/>
                <w:szCs w:val="18"/>
              </w:rPr>
              <w:t xml:space="preserve"> employment training. Hence, participants received 35 hours of </w:t>
            </w:r>
            <w:r w:rsidR="00A01871" w:rsidRPr="00584BCB">
              <w:rPr>
                <w:rFonts w:ascii="Rubik" w:hAnsi="Rubik"/>
                <w:color w:val="000000" w:themeColor="text1"/>
                <w:sz w:val="18"/>
                <w:szCs w:val="18"/>
              </w:rPr>
              <w:t>community-based</w:t>
            </w:r>
            <w:r w:rsidRPr="00584BCB">
              <w:rPr>
                <w:rFonts w:ascii="Rubik" w:hAnsi="Rubik"/>
                <w:color w:val="000000" w:themeColor="text1"/>
                <w:sz w:val="18"/>
                <w:szCs w:val="18"/>
              </w:rPr>
              <w:t xml:space="preserve"> employment training a week.</w:t>
            </w:r>
          </w:p>
        </w:tc>
        <w:tc>
          <w:tcPr>
            <w:tcW w:w="1327" w:type="pct"/>
          </w:tcPr>
          <w:p w14:paraId="3ECF6E36"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High school special education services as usual</w:t>
            </w:r>
          </w:p>
          <w:p w14:paraId="36C3E728" w14:textId="6172E26D"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Students attended their assigned high school and received the services, accommodations, and modifications stipulated in their individualised education plans. In addition to these </w:t>
            </w:r>
            <w:r w:rsidR="00A01871" w:rsidRPr="00584BCB">
              <w:rPr>
                <w:rFonts w:ascii="Rubik" w:hAnsi="Rubik"/>
                <w:color w:val="000000" w:themeColor="text1"/>
                <w:sz w:val="18"/>
                <w:szCs w:val="18"/>
              </w:rPr>
              <w:t>school-based</w:t>
            </w:r>
            <w:r w:rsidRPr="00584BCB">
              <w:rPr>
                <w:rFonts w:ascii="Rubik" w:hAnsi="Rubik"/>
                <w:color w:val="000000" w:themeColor="text1"/>
                <w:sz w:val="18"/>
                <w:szCs w:val="18"/>
              </w:rPr>
              <w:t xml:space="preserve"> services, all but one control group participant received some </w:t>
            </w:r>
            <w:r w:rsidR="00E448DB" w:rsidRPr="00584BCB">
              <w:rPr>
                <w:rFonts w:ascii="Rubik" w:hAnsi="Rubik"/>
                <w:color w:val="000000" w:themeColor="text1"/>
                <w:sz w:val="18"/>
                <w:szCs w:val="18"/>
              </w:rPr>
              <w:t>community-based</w:t>
            </w:r>
            <w:r w:rsidRPr="00584BCB">
              <w:rPr>
                <w:rFonts w:ascii="Rubik" w:hAnsi="Rubik"/>
                <w:color w:val="000000" w:themeColor="text1"/>
                <w:sz w:val="18"/>
                <w:szCs w:val="18"/>
              </w:rPr>
              <w:t xml:space="preserve"> employment training. All educational services were provided by school district staff. </w:t>
            </w:r>
          </w:p>
        </w:tc>
      </w:tr>
      <w:tr w:rsidR="00584BCB" w:rsidRPr="00584BCB" w14:paraId="17B09150" w14:textId="77777777" w:rsidTr="00ED3B45">
        <w:trPr>
          <w:trHeight w:val="850"/>
        </w:trPr>
        <w:tc>
          <w:tcPr>
            <w:tcW w:w="611" w:type="pct"/>
            <w:hideMark/>
          </w:tcPr>
          <w:p w14:paraId="37B8012D"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Whittenburg 2020</w:t>
            </w:r>
          </w:p>
        </w:tc>
        <w:tc>
          <w:tcPr>
            <w:tcW w:w="3062" w:type="pct"/>
            <w:hideMark/>
          </w:tcPr>
          <w:p w14:paraId="2911E813"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Project SEARCH plus ASD Supports</w:t>
            </w:r>
          </w:p>
          <w:p w14:paraId="2F00FABE" w14:textId="304D04D8"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Project SEARCH is a job training program, where students with developmental </w:t>
            </w:r>
            <w:r w:rsidR="000823D5" w:rsidRPr="00584BCB">
              <w:rPr>
                <w:rFonts w:ascii="Rubik" w:hAnsi="Rubik"/>
                <w:color w:val="000000" w:themeColor="text1"/>
                <w:sz w:val="18"/>
                <w:szCs w:val="18"/>
              </w:rPr>
              <w:t>disability</w:t>
            </w:r>
            <w:r w:rsidRPr="00584BCB">
              <w:rPr>
                <w:rFonts w:ascii="Rubik" w:hAnsi="Rubik"/>
                <w:color w:val="000000" w:themeColor="text1"/>
                <w:sz w:val="18"/>
                <w:szCs w:val="18"/>
              </w:rPr>
              <w:t xml:space="preserve"> spend their final year of secondary school undertaking internships and participating in daily classroom-based instruction on employability skills. Project SEARCH participants rotate through three 10- to 12-week internships in large community businesses (</w:t>
            </w:r>
            <w:r w:rsidR="00A01871" w:rsidRPr="00584BCB">
              <w:rPr>
                <w:rFonts w:ascii="Rubik" w:hAnsi="Rubik"/>
                <w:color w:val="000000" w:themeColor="text1"/>
                <w:sz w:val="18"/>
                <w:szCs w:val="18"/>
              </w:rPr>
              <w:t>e.g.,</w:t>
            </w:r>
            <w:r w:rsidRPr="00584BCB">
              <w:rPr>
                <w:rFonts w:ascii="Rubik" w:hAnsi="Rubik"/>
                <w:color w:val="000000" w:themeColor="text1"/>
                <w:sz w:val="18"/>
                <w:szCs w:val="18"/>
              </w:rPr>
              <w:t xml:space="preserve"> hospital, government complex or banking centre) based on their preferences and strengths in order to learn marketable skills, social communication, and adaptive </w:t>
            </w:r>
            <w:r w:rsidR="0063063A" w:rsidRPr="00584BCB">
              <w:rPr>
                <w:rFonts w:ascii="Rubik" w:hAnsi="Rubik"/>
                <w:color w:val="000000" w:themeColor="text1"/>
                <w:sz w:val="18"/>
                <w:szCs w:val="18"/>
              </w:rPr>
              <w:t>behaviour</w:t>
            </w:r>
            <w:r w:rsidRPr="00584BCB">
              <w:rPr>
                <w:rFonts w:ascii="Rubik" w:hAnsi="Rubik"/>
                <w:color w:val="000000" w:themeColor="text1"/>
                <w:sz w:val="18"/>
                <w:szCs w:val="18"/>
              </w:rPr>
              <w:t xml:space="preserve"> for employment. Autism-specific supports include: (1) onsite, intensive, systematic instruction using applied behavioural analysis principles; (2) onsite support and consultation from a behaviour/autism specialist; and (3) intensive staff training in ASD and the Project SEARCH Model.</w:t>
            </w:r>
          </w:p>
        </w:tc>
        <w:tc>
          <w:tcPr>
            <w:tcW w:w="1327" w:type="pct"/>
          </w:tcPr>
          <w:p w14:paraId="53A01CB2"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 xml:space="preserve">Waitlist high school special education services as usual  </w:t>
            </w:r>
          </w:p>
          <w:p w14:paraId="4079B20E" w14:textId="77777777" w:rsidR="00BD1825" w:rsidRPr="00584BCB" w:rsidRDefault="00BD1825" w:rsidP="00BD1825">
            <w:pPr>
              <w:rPr>
                <w:rFonts w:ascii="Rubik" w:hAnsi="Rubik"/>
                <w:color w:val="000000" w:themeColor="text1"/>
                <w:sz w:val="18"/>
                <w:szCs w:val="18"/>
              </w:rPr>
            </w:pPr>
            <w:r w:rsidRPr="00584BCB">
              <w:rPr>
                <w:rFonts w:ascii="Rubik" w:hAnsi="Rubik"/>
                <w:color w:val="000000" w:themeColor="text1"/>
                <w:sz w:val="18"/>
                <w:szCs w:val="18"/>
              </w:rPr>
              <w:t>Students received public school-based, special education transition services including participation in hands-on work training in community and/or school settings and classroom-based instruction on functional and academic skills.</w:t>
            </w:r>
          </w:p>
        </w:tc>
      </w:tr>
    </w:tbl>
    <w:p w14:paraId="6BC375D0" w14:textId="534AAA09" w:rsidR="00BD1825" w:rsidRPr="00584BCB" w:rsidRDefault="005B1703" w:rsidP="00BD1825">
      <w:pPr>
        <w:rPr>
          <w:rFonts w:ascii="Rubik" w:hAnsi="Rubik"/>
          <w:color w:val="000000" w:themeColor="text1"/>
          <w:szCs w:val="20"/>
        </w:rPr>
      </w:pPr>
      <w:r w:rsidRPr="00584BCB">
        <w:rPr>
          <w:rFonts w:ascii="Rubik" w:hAnsi="Rubik"/>
          <w:color w:val="000000" w:themeColor="text1"/>
          <w:szCs w:val="20"/>
        </w:rPr>
        <w:t xml:space="preserve">Key: </w:t>
      </w:r>
      <w:r w:rsidR="00BD1825" w:rsidRPr="00584BCB">
        <w:rPr>
          <w:rFonts w:ascii="Rubik" w:hAnsi="Rubik"/>
          <w:color w:val="000000" w:themeColor="text1"/>
          <w:szCs w:val="20"/>
        </w:rPr>
        <w:t>ASD: Autism Spectrum Disorder</w:t>
      </w:r>
    </w:p>
    <w:p w14:paraId="376DB758" w14:textId="77777777" w:rsidR="000C475B" w:rsidRPr="00584BCB" w:rsidRDefault="000C475B">
      <w:pPr>
        <w:spacing w:after="160" w:line="259" w:lineRule="auto"/>
        <w:rPr>
          <w:rFonts w:ascii="Rubik" w:hAnsi="Rubik"/>
          <w:color w:val="000000" w:themeColor="text1"/>
          <w:sz w:val="22"/>
        </w:rPr>
        <w:sectPr w:rsidR="000C475B" w:rsidRPr="00584BCB" w:rsidSect="00F70676">
          <w:pgSz w:w="16840" w:h="11900" w:orient="landscape"/>
          <w:pgMar w:top="720" w:right="720" w:bottom="720" w:left="720" w:header="720" w:footer="720" w:gutter="0"/>
          <w:cols w:space="720"/>
          <w:docGrid w:linePitch="299"/>
        </w:sectPr>
      </w:pPr>
    </w:p>
    <w:p w14:paraId="5FB9EB12" w14:textId="479C0BE9" w:rsidR="009340DA" w:rsidRPr="00584BCB" w:rsidRDefault="001314FF">
      <w:pPr>
        <w:spacing w:after="160" w:line="259" w:lineRule="auto"/>
        <w:rPr>
          <w:rFonts w:ascii="Rubik" w:hAnsi="Rubik"/>
          <w:color w:val="000000" w:themeColor="text1"/>
          <w:sz w:val="22"/>
        </w:rPr>
        <w:sectPr w:rsidR="009340DA" w:rsidRPr="00584BCB" w:rsidSect="00F70676">
          <w:headerReference w:type="default" r:id="rId18"/>
          <w:type w:val="continuous"/>
          <w:pgSz w:w="16840" w:h="11900" w:orient="landscape"/>
          <w:pgMar w:top="720" w:right="720" w:bottom="720" w:left="720" w:header="720" w:footer="720" w:gutter="0"/>
          <w:cols w:space="720"/>
          <w:docGrid w:linePitch="299"/>
        </w:sectPr>
      </w:pPr>
      <w:r w:rsidRPr="00584BCB">
        <w:rPr>
          <w:rFonts w:ascii="Rubik" w:hAnsi="Rubik"/>
          <w:color w:val="000000" w:themeColor="text1"/>
          <w:sz w:val="22"/>
        </w:rPr>
        <w:br w:type="page"/>
      </w:r>
    </w:p>
    <w:p w14:paraId="4F6B20BC" w14:textId="7120C622" w:rsidR="00BD1825" w:rsidRPr="00584BCB" w:rsidRDefault="00BD1825" w:rsidP="72822302">
      <w:pPr>
        <w:pStyle w:val="Caption"/>
        <w:rPr>
          <w:rFonts w:ascii="Rubik" w:hAnsi="Rubik"/>
          <w:bCs/>
          <w:color w:val="000000" w:themeColor="text1"/>
          <w:sz w:val="22"/>
          <w:szCs w:val="22"/>
        </w:rPr>
      </w:pPr>
      <w:r w:rsidRPr="00584BCB">
        <w:rPr>
          <w:rFonts w:ascii="Rubik" w:hAnsi="Rubik"/>
          <w:bCs/>
          <w:color w:val="000000" w:themeColor="text1"/>
          <w:sz w:val="22"/>
          <w:szCs w:val="22"/>
        </w:rPr>
        <w:lastRenderedPageBreak/>
        <w:t>Table 5. Interventions and outcomes of included studies with people with psychosocial disability</w:t>
      </w:r>
    </w:p>
    <w:tbl>
      <w:tblPr>
        <w:tblpPr w:leftFromText="180" w:rightFromText="180" w:vertAnchor="text" w:tblpX="-147"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620" w:firstRow="1" w:lastRow="0" w:firstColumn="0" w:lastColumn="0" w:noHBand="1" w:noVBand="1"/>
        <w:tblCaption w:val="Table 5 "/>
        <w:tblDescription w:val="This table describes the interventions and outcomes of included studies with people with psychosocial disability."/>
      </w:tblPr>
      <w:tblGrid>
        <w:gridCol w:w="1295"/>
        <w:gridCol w:w="1448"/>
        <w:gridCol w:w="1505"/>
        <w:gridCol w:w="1417"/>
        <w:gridCol w:w="1476"/>
        <w:gridCol w:w="3170"/>
        <w:gridCol w:w="2233"/>
        <w:gridCol w:w="1532"/>
        <w:gridCol w:w="1314"/>
      </w:tblGrid>
      <w:tr w:rsidR="00584BCB" w:rsidRPr="00584BCB" w14:paraId="775B6496" w14:textId="77777777" w:rsidTr="00BC4A0B">
        <w:trPr>
          <w:cantSplit/>
          <w:trHeight w:val="877"/>
        </w:trPr>
        <w:tc>
          <w:tcPr>
            <w:tcW w:w="129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5BD399B2"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Study</w:t>
            </w:r>
          </w:p>
        </w:tc>
        <w:tc>
          <w:tcPr>
            <w:tcW w:w="144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5FBC33DA"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 xml:space="preserve">Interventions </w:t>
            </w:r>
          </w:p>
        </w:tc>
        <w:tc>
          <w:tcPr>
            <w:tcW w:w="1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521E2B81"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Intervention categories</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6A77D09F" w14:textId="6A84CED6"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Duration of intervention, months</w:t>
            </w:r>
          </w:p>
        </w:tc>
        <w:tc>
          <w:tcPr>
            <w:tcW w:w="14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118B5F06" w14:textId="76401E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Follow-up, months after randomisation (unless otherwise stated)</w:t>
            </w:r>
          </w:p>
        </w:tc>
        <w:tc>
          <w:tcPr>
            <w:tcW w:w="317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2AC914F0"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 xml:space="preserve">Definition of primary outcome and measurement (timepoint/period in months) </w:t>
            </w:r>
          </w:p>
        </w:tc>
        <w:tc>
          <w:tcPr>
            <w:tcW w:w="223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7F351805"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 xml:space="preserve">Primary outcomes </w:t>
            </w:r>
          </w:p>
        </w:tc>
        <w:tc>
          <w:tcPr>
            <w:tcW w:w="153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32E77A0B"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Secondary outcomes</w:t>
            </w:r>
          </w:p>
        </w:tc>
        <w:tc>
          <w:tcPr>
            <w:tcW w:w="13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7541C625" w14:textId="77777777" w:rsidR="00BD1825" w:rsidRPr="00584BCB" w:rsidRDefault="00BD1825" w:rsidP="008A031E">
            <w:pPr>
              <w:rPr>
                <w:rFonts w:ascii="Rubik" w:hAnsi="Rubik"/>
                <w:i/>
                <w:iCs/>
                <w:color w:val="000000" w:themeColor="text1"/>
                <w:sz w:val="18"/>
                <w:szCs w:val="18"/>
              </w:rPr>
            </w:pPr>
            <w:r w:rsidRPr="00584BCB">
              <w:rPr>
                <w:rFonts w:ascii="Rubik" w:hAnsi="Rubik"/>
                <w:i/>
                <w:iCs/>
                <w:color w:val="000000" w:themeColor="text1"/>
                <w:sz w:val="18"/>
                <w:szCs w:val="18"/>
              </w:rPr>
              <w:t>Results</w:t>
            </w:r>
          </w:p>
        </w:tc>
      </w:tr>
      <w:tr w:rsidR="00584BCB" w:rsidRPr="00584BCB" w14:paraId="2B527A68" w14:textId="77777777" w:rsidTr="00BC4A0B">
        <w:trPr>
          <w:cantSplit/>
        </w:trPr>
        <w:tc>
          <w:tcPr>
            <w:tcW w:w="1295" w:type="dxa"/>
            <w:tcBorders>
              <w:top w:val="single" w:sz="4" w:space="0" w:color="000000" w:themeColor="text1"/>
            </w:tcBorders>
            <w:hideMark/>
          </w:tcPr>
          <w:p w14:paraId="082EC51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Bejerholm 2015</w:t>
            </w:r>
          </w:p>
        </w:tc>
        <w:tc>
          <w:tcPr>
            <w:tcW w:w="1448" w:type="dxa"/>
            <w:tcBorders>
              <w:top w:val="single" w:sz="4" w:space="0" w:color="000000" w:themeColor="text1"/>
            </w:tcBorders>
            <w:hideMark/>
          </w:tcPr>
          <w:p w14:paraId="054C64F8" w14:textId="7A8FF68F" w:rsidR="00BD1825" w:rsidRPr="00584BCB" w:rsidRDefault="00BD1825" w:rsidP="008A031E">
            <w:pPr>
              <w:rPr>
                <w:rFonts w:ascii="Rubik" w:hAnsi="Rubik"/>
                <w:color w:val="000000" w:themeColor="text1"/>
                <w:sz w:val="18"/>
                <w:szCs w:val="18"/>
                <w:lang w:val="fr-FR"/>
              </w:rPr>
            </w:pPr>
            <w:r w:rsidRPr="00584BCB">
              <w:rPr>
                <w:rFonts w:ascii="Rubik" w:hAnsi="Rubik"/>
                <w:color w:val="000000" w:themeColor="text1"/>
                <w:sz w:val="18"/>
                <w:szCs w:val="18"/>
                <w:lang w:val="fr-FR"/>
              </w:rPr>
              <w:t xml:space="preserve">IPS vs. Traditional vocational rehabilitation </w:t>
            </w:r>
          </w:p>
        </w:tc>
        <w:tc>
          <w:tcPr>
            <w:tcW w:w="1505" w:type="dxa"/>
            <w:tcBorders>
              <w:top w:val="single" w:sz="4" w:space="0" w:color="000000" w:themeColor="text1"/>
            </w:tcBorders>
          </w:tcPr>
          <w:p w14:paraId="5ECA2E7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SE vs. Skills development</w:t>
            </w:r>
          </w:p>
        </w:tc>
        <w:tc>
          <w:tcPr>
            <w:tcW w:w="1417" w:type="dxa"/>
            <w:tcBorders>
              <w:top w:val="single" w:sz="4" w:space="0" w:color="000000" w:themeColor="text1"/>
            </w:tcBorders>
            <w:hideMark/>
          </w:tcPr>
          <w:p w14:paraId="0D66A50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18 </w:t>
            </w:r>
          </w:p>
        </w:tc>
        <w:tc>
          <w:tcPr>
            <w:tcW w:w="1476" w:type="dxa"/>
            <w:tcBorders>
              <w:top w:val="single" w:sz="4" w:space="0" w:color="000000" w:themeColor="text1"/>
            </w:tcBorders>
            <w:hideMark/>
          </w:tcPr>
          <w:p w14:paraId="35D54CF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18 </w:t>
            </w:r>
          </w:p>
        </w:tc>
        <w:tc>
          <w:tcPr>
            <w:tcW w:w="3170" w:type="dxa"/>
            <w:tcBorders>
              <w:top w:val="single" w:sz="4" w:space="0" w:color="000000" w:themeColor="text1"/>
            </w:tcBorders>
            <w:hideMark/>
          </w:tcPr>
          <w:p w14:paraId="52F76B2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defined as worked for at least 1 week in employment that paid at least minimum wage, available to any citizen and located in mainstream settings. (0-18)</w:t>
            </w:r>
          </w:p>
        </w:tc>
        <w:tc>
          <w:tcPr>
            <w:tcW w:w="2233" w:type="dxa"/>
            <w:tcBorders>
              <w:top w:val="single" w:sz="4" w:space="0" w:color="000000" w:themeColor="text1"/>
            </w:tcBorders>
          </w:tcPr>
          <w:p w14:paraId="78D606C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IPS participants worked than participants in the TVR group (19/41, 46.3% versus 5/46, 10.9%, respectively; Difference (95% CI): 36 (18–54); p&lt; 0.001)</w:t>
            </w:r>
          </w:p>
        </w:tc>
        <w:tc>
          <w:tcPr>
            <w:tcW w:w="1532" w:type="dxa"/>
            <w:tcBorders>
              <w:top w:val="single" w:sz="4" w:space="0" w:color="000000" w:themeColor="text1"/>
            </w:tcBorders>
            <w:hideMark/>
          </w:tcPr>
          <w:p w14:paraId="45CE5A01" w14:textId="77777777" w:rsidR="00BD1825" w:rsidRPr="00584BCB" w:rsidRDefault="00BD1825" w:rsidP="008A031E">
            <w:pPr>
              <w:rPr>
                <w:rFonts w:ascii="Rubik" w:hAnsi="Rubik"/>
                <w:color w:val="000000" w:themeColor="text1"/>
                <w:sz w:val="18"/>
                <w:szCs w:val="18"/>
              </w:rPr>
            </w:pPr>
          </w:p>
        </w:tc>
        <w:tc>
          <w:tcPr>
            <w:tcW w:w="1314" w:type="dxa"/>
            <w:tcBorders>
              <w:top w:val="single" w:sz="4" w:space="0" w:color="000000" w:themeColor="text1"/>
            </w:tcBorders>
          </w:tcPr>
          <w:p w14:paraId="185FB94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Favours IPS </w:t>
            </w:r>
          </w:p>
        </w:tc>
      </w:tr>
      <w:tr w:rsidR="00584BCB" w:rsidRPr="00584BCB" w14:paraId="1F863239" w14:textId="77777777" w:rsidTr="00BC4A0B">
        <w:trPr>
          <w:cantSplit/>
        </w:trPr>
        <w:tc>
          <w:tcPr>
            <w:tcW w:w="1295" w:type="dxa"/>
            <w:hideMark/>
          </w:tcPr>
          <w:p w14:paraId="162EBD6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Bond 2015</w:t>
            </w:r>
          </w:p>
        </w:tc>
        <w:tc>
          <w:tcPr>
            <w:tcW w:w="1448" w:type="dxa"/>
            <w:hideMark/>
          </w:tcPr>
          <w:p w14:paraId="1A25C9A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vs. Work Choice </w:t>
            </w:r>
          </w:p>
        </w:tc>
        <w:tc>
          <w:tcPr>
            <w:tcW w:w="1505" w:type="dxa"/>
          </w:tcPr>
          <w:p w14:paraId="36B6CBD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SE vs. Career guidance </w:t>
            </w:r>
          </w:p>
        </w:tc>
        <w:tc>
          <w:tcPr>
            <w:tcW w:w="1417" w:type="dxa"/>
            <w:hideMark/>
          </w:tcPr>
          <w:p w14:paraId="1DB6B05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fixed duration</w:t>
            </w:r>
          </w:p>
        </w:tc>
        <w:tc>
          <w:tcPr>
            <w:tcW w:w="1476" w:type="dxa"/>
            <w:hideMark/>
          </w:tcPr>
          <w:p w14:paraId="04983DD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5F89567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(Worked at least one day in the community for which an individual is paid at least minimum wage during 0-12)</w:t>
            </w:r>
          </w:p>
          <w:p w14:paraId="11C56CBF" w14:textId="1966E22D" w:rsidR="00BD1825" w:rsidRPr="00584BCB" w:rsidRDefault="00FE2EAA" w:rsidP="008A031E">
            <w:pPr>
              <w:rPr>
                <w:rFonts w:ascii="Rubik" w:hAnsi="Rubik"/>
                <w:color w:val="000000" w:themeColor="text1"/>
                <w:sz w:val="18"/>
                <w:szCs w:val="18"/>
              </w:rPr>
            </w:pPr>
            <w:r w:rsidRPr="00584BCB">
              <w:rPr>
                <w:rFonts w:ascii="Rubik" w:hAnsi="Rubik"/>
                <w:color w:val="000000" w:themeColor="text1"/>
                <w:sz w:val="18"/>
                <w:szCs w:val="18"/>
              </w:rPr>
              <w:t>E</w:t>
            </w:r>
            <w:r w:rsidR="00BD1825" w:rsidRPr="00584BCB">
              <w:rPr>
                <w:rFonts w:ascii="Rubik" w:hAnsi="Rubik"/>
                <w:color w:val="000000" w:themeColor="text1"/>
                <w:sz w:val="18"/>
                <w:szCs w:val="18"/>
              </w:rPr>
              <w:t xml:space="preserve">mployment, agency-run job (worked at least one day, an agency-run, for profit business that sells products or goods to the public and provides supported employment to disabled individuals during 0-12) or </w:t>
            </w:r>
            <w:r w:rsidR="001007FB" w:rsidRPr="00584BCB">
              <w:rPr>
                <w:rFonts w:ascii="Rubik" w:hAnsi="Rubik"/>
                <w:color w:val="000000" w:themeColor="text1"/>
                <w:sz w:val="18"/>
                <w:szCs w:val="18"/>
              </w:rPr>
              <w:t>supported</w:t>
            </w:r>
            <w:r w:rsidR="00BD1825" w:rsidRPr="00584BCB">
              <w:rPr>
                <w:rFonts w:ascii="Rubik" w:hAnsi="Rubik"/>
                <w:color w:val="000000" w:themeColor="text1"/>
                <w:sz w:val="18"/>
                <w:szCs w:val="18"/>
              </w:rPr>
              <w:t xml:space="preserve"> work (at least one day, transitional and/or long-term employment in a controlled and protected working environment for those who are unable either to compete or to function in the open job market due to their </w:t>
            </w:r>
            <w:r w:rsidR="000823D5" w:rsidRPr="00584BCB">
              <w:rPr>
                <w:rFonts w:ascii="Rubik" w:hAnsi="Rubik"/>
                <w:color w:val="000000" w:themeColor="text1"/>
                <w:sz w:val="18"/>
                <w:szCs w:val="18"/>
              </w:rPr>
              <w:t>disability</w:t>
            </w:r>
            <w:r w:rsidR="00BD1825" w:rsidRPr="00584BCB">
              <w:rPr>
                <w:rFonts w:ascii="Rubik" w:hAnsi="Rubik"/>
                <w:color w:val="000000" w:themeColor="text1"/>
                <w:sz w:val="18"/>
                <w:szCs w:val="18"/>
              </w:rPr>
              <w:t xml:space="preserve"> during 0-12 months postintervention)</w:t>
            </w:r>
          </w:p>
        </w:tc>
        <w:tc>
          <w:tcPr>
            <w:tcW w:w="2233" w:type="dxa"/>
          </w:tcPr>
          <w:p w14:paraId="5DE98CC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participants in the IPS condition worked in open employment than those in the control condition (13/42, 31.0% versus 3/43, 7.0%; N=85, x2=7.99, df=1, p&lt;.01)</w:t>
            </w:r>
          </w:p>
          <w:p w14:paraId="63CA0994" w14:textId="77777777" w:rsidR="00BD1825" w:rsidRPr="00584BCB" w:rsidRDefault="00BD1825" w:rsidP="008A031E">
            <w:pPr>
              <w:rPr>
                <w:rFonts w:ascii="Rubik" w:hAnsi="Rubik"/>
                <w:color w:val="000000" w:themeColor="text1"/>
                <w:sz w:val="18"/>
                <w:szCs w:val="18"/>
              </w:rPr>
            </w:pPr>
          </w:p>
          <w:p w14:paraId="58DE4C74" w14:textId="3C81F8D9"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More participants in the control than IPS condition were in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employment (1/43, 2.3% versus 0/42, 0% respectively)</w:t>
            </w:r>
          </w:p>
        </w:tc>
        <w:tc>
          <w:tcPr>
            <w:tcW w:w="1532" w:type="dxa"/>
            <w:hideMark/>
          </w:tcPr>
          <w:p w14:paraId="6327E83D" w14:textId="77777777" w:rsidR="00BD1825" w:rsidRPr="00584BCB" w:rsidRDefault="00BD1825" w:rsidP="008A031E">
            <w:pPr>
              <w:rPr>
                <w:rFonts w:ascii="Rubik" w:hAnsi="Rubik"/>
                <w:color w:val="000000" w:themeColor="text1"/>
                <w:sz w:val="18"/>
                <w:szCs w:val="18"/>
              </w:rPr>
            </w:pPr>
          </w:p>
        </w:tc>
        <w:tc>
          <w:tcPr>
            <w:tcW w:w="1314" w:type="dxa"/>
          </w:tcPr>
          <w:p w14:paraId="0D054DCC" w14:textId="35FB67AC"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Favours IPS for open employment, no effect for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employment. </w:t>
            </w:r>
          </w:p>
        </w:tc>
      </w:tr>
      <w:tr w:rsidR="00584BCB" w:rsidRPr="00584BCB" w14:paraId="0E1AF7AF" w14:textId="77777777" w:rsidTr="00BC4A0B">
        <w:trPr>
          <w:cantSplit/>
        </w:trPr>
        <w:tc>
          <w:tcPr>
            <w:tcW w:w="1295" w:type="dxa"/>
            <w:hideMark/>
          </w:tcPr>
          <w:p w14:paraId="7A41878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Craig 2014</w:t>
            </w:r>
          </w:p>
        </w:tc>
        <w:tc>
          <w:tcPr>
            <w:tcW w:w="1448" w:type="dxa"/>
            <w:hideMark/>
          </w:tcPr>
          <w:p w14:paraId="3EF82EB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and motivational interviewing vs. IPS only</w:t>
            </w:r>
          </w:p>
        </w:tc>
        <w:tc>
          <w:tcPr>
            <w:tcW w:w="1505" w:type="dxa"/>
          </w:tcPr>
          <w:p w14:paraId="5223F31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SE and career guidance vs. SE </w:t>
            </w:r>
          </w:p>
        </w:tc>
        <w:tc>
          <w:tcPr>
            <w:tcW w:w="1417" w:type="dxa"/>
            <w:hideMark/>
          </w:tcPr>
          <w:p w14:paraId="4830F14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18A4EE5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0A572B6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(12, 0-12 months)</w:t>
            </w:r>
          </w:p>
        </w:tc>
        <w:tc>
          <w:tcPr>
            <w:tcW w:w="2233" w:type="dxa"/>
          </w:tcPr>
          <w:p w14:paraId="4D292566" w14:textId="4F1EF2E0"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More participants in the IPS and motivational interviewing condition were in open employment from baseline to 12 months than participants in the IPS only condition (29/68, 43% vs 12/66, 18% </w:t>
            </w:r>
            <w:r w:rsidR="00E448DB" w:rsidRPr="00584BCB">
              <w:rPr>
                <w:rFonts w:ascii="Rubik" w:hAnsi="Rubik"/>
                <w:color w:val="000000" w:themeColor="text1"/>
                <w:sz w:val="18"/>
                <w:szCs w:val="18"/>
              </w:rPr>
              <w:t>respectively:</w:t>
            </w:r>
            <w:r w:rsidRPr="00584BCB">
              <w:rPr>
                <w:rFonts w:ascii="Rubik" w:hAnsi="Rubik"/>
                <w:color w:val="000000" w:themeColor="text1"/>
                <w:sz w:val="18"/>
                <w:szCs w:val="18"/>
              </w:rPr>
              <w:t xml:space="preserve"> OR = 3.5, 95% CI 1.5–8.1). </w:t>
            </w:r>
          </w:p>
          <w:p w14:paraId="3E8C941E" w14:textId="715862C6"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and on the day of interview at 12 months (26/68, 38.2% v. 10/66, 15.2%, respectively; x2=8.79,d.f.=1,P=0.003)</w:t>
            </w:r>
          </w:p>
        </w:tc>
        <w:tc>
          <w:tcPr>
            <w:tcW w:w="1532" w:type="dxa"/>
            <w:hideMark/>
          </w:tcPr>
          <w:p w14:paraId="321B297A" w14:textId="77777777" w:rsidR="00BD1825" w:rsidRPr="00584BCB" w:rsidRDefault="00BD1825" w:rsidP="008A031E">
            <w:pPr>
              <w:rPr>
                <w:rFonts w:ascii="Rubik" w:hAnsi="Rubik"/>
                <w:color w:val="000000" w:themeColor="text1"/>
                <w:sz w:val="18"/>
                <w:szCs w:val="18"/>
              </w:rPr>
            </w:pPr>
          </w:p>
        </w:tc>
        <w:tc>
          <w:tcPr>
            <w:tcW w:w="1314" w:type="dxa"/>
          </w:tcPr>
          <w:p w14:paraId="5712FA5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 IPS and MI over IPS only</w:t>
            </w:r>
          </w:p>
        </w:tc>
      </w:tr>
      <w:tr w:rsidR="00584BCB" w:rsidRPr="00584BCB" w14:paraId="0A1B9930" w14:textId="77777777" w:rsidTr="00BC4A0B">
        <w:trPr>
          <w:cantSplit/>
        </w:trPr>
        <w:tc>
          <w:tcPr>
            <w:tcW w:w="1295" w:type="dxa"/>
            <w:hideMark/>
          </w:tcPr>
          <w:p w14:paraId="3B9CB5C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Davis 2012</w:t>
            </w:r>
          </w:p>
        </w:tc>
        <w:tc>
          <w:tcPr>
            <w:tcW w:w="1448" w:type="dxa"/>
            <w:hideMark/>
          </w:tcPr>
          <w:p w14:paraId="05F5D4BB" w14:textId="204E3DAC"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(fair fidelity) vs. Veteran Affairs Vocational Rehabilitation Program </w:t>
            </w:r>
          </w:p>
        </w:tc>
        <w:tc>
          <w:tcPr>
            <w:tcW w:w="1505" w:type="dxa"/>
          </w:tcPr>
          <w:p w14:paraId="42EECA1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SE vs. Career guidance and work experience</w:t>
            </w:r>
          </w:p>
        </w:tc>
        <w:tc>
          <w:tcPr>
            <w:tcW w:w="1417" w:type="dxa"/>
            <w:hideMark/>
          </w:tcPr>
          <w:p w14:paraId="5DCB00F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4FF0B0D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5FBCE8EB" w14:textId="0A1103AC"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Open employment (job for regular wages in a setting that was not set aside,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or enclaved. Day labour (that is, pick-up cash-based day jobs for yard work, babysitting, manual labour, and so forth) and military drill were not counted as competitive employment, at least one day (any number of hours) of actual work during (0-12 months)</w:t>
            </w:r>
          </w:p>
          <w:p w14:paraId="6D405DC7" w14:textId="77777777" w:rsidR="00BD1825" w:rsidRPr="00584BCB" w:rsidRDefault="00BD1825" w:rsidP="008A031E">
            <w:pPr>
              <w:rPr>
                <w:rFonts w:ascii="Rubik" w:hAnsi="Rubik"/>
                <w:color w:val="000000" w:themeColor="text1"/>
                <w:sz w:val="18"/>
                <w:szCs w:val="18"/>
              </w:rPr>
            </w:pPr>
          </w:p>
        </w:tc>
        <w:tc>
          <w:tcPr>
            <w:tcW w:w="2233" w:type="dxa"/>
          </w:tcPr>
          <w:p w14:paraId="595A966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More participants assigned to IPS obtained open employment compared to the TVR participants (76.2% vs 27.9%, number needed to treat=2.07, 95% CI=1.96–2.19; </w:t>
            </w:r>
            <w:r w:rsidRPr="00584BCB">
              <w:rPr>
                <w:rFonts w:ascii="Cambria" w:hAnsi="Cambria" w:cs="Cambria"/>
                <w:color w:val="000000" w:themeColor="text1"/>
                <w:sz w:val="18"/>
                <w:szCs w:val="18"/>
              </w:rPr>
              <w:t>χ</w:t>
            </w:r>
            <w:r w:rsidRPr="00584BCB">
              <w:rPr>
                <w:rFonts w:ascii="Rubik" w:hAnsi="Rubik"/>
                <w:color w:val="000000" w:themeColor="text1"/>
                <w:sz w:val="18"/>
                <w:szCs w:val="18"/>
              </w:rPr>
              <w:t xml:space="preserve">2=19.84, df=1, p&lt;.001). </w:t>
            </w:r>
          </w:p>
        </w:tc>
        <w:tc>
          <w:tcPr>
            <w:tcW w:w="1532" w:type="dxa"/>
            <w:hideMark/>
          </w:tcPr>
          <w:p w14:paraId="0348B1A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participants worked higher mean number of weeks in a competitive job compared to control group (21.6 (17.7) v. 6.8 (13.8), p &lt;.001 (Mann-Whitney z), Cohen's d = .93, 95% CI = .50–1.36).</w:t>
            </w:r>
          </w:p>
        </w:tc>
        <w:tc>
          <w:tcPr>
            <w:tcW w:w="1314" w:type="dxa"/>
          </w:tcPr>
          <w:p w14:paraId="16D525E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42C8E1D6" w14:textId="77777777" w:rsidTr="00BC4A0B">
        <w:trPr>
          <w:cantSplit/>
        </w:trPr>
        <w:tc>
          <w:tcPr>
            <w:tcW w:w="1295" w:type="dxa"/>
            <w:hideMark/>
          </w:tcPr>
          <w:p w14:paraId="5FD08C7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Davis 2018</w:t>
            </w:r>
          </w:p>
        </w:tc>
        <w:tc>
          <w:tcPr>
            <w:tcW w:w="1448" w:type="dxa"/>
            <w:hideMark/>
          </w:tcPr>
          <w:p w14:paraId="5EAAB79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Standard Coaches vs. Vocational Coaches </w:t>
            </w:r>
          </w:p>
        </w:tc>
        <w:tc>
          <w:tcPr>
            <w:tcW w:w="1505" w:type="dxa"/>
          </w:tcPr>
          <w:p w14:paraId="56529C7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Skills development vs. Skill development  </w:t>
            </w:r>
          </w:p>
        </w:tc>
        <w:tc>
          <w:tcPr>
            <w:tcW w:w="1417" w:type="dxa"/>
            <w:hideMark/>
          </w:tcPr>
          <w:p w14:paraId="3A4A1F7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6-16 (depending on client needs)</w:t>
            </w:r>
          </w:p>
        </w:tc>
        <w:tc>
          <w:tcPr>
            <w:tcW w:w="1476" w:type="dxa"/>
            <w:hideMark/>
          </w:tcPr>
          <w:p w14:paraId="48A5A03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1 month post-intervention, 4 months post-intervention</w:t>
            </w:r>
          </w:p>
        </w:tc>
        <w:tc>
          <w:tcPr>
            <w:tcW w:w="3170" w:type="dxa"/>
            <w:shd w:val="clear" w:color="auto" w:fill="auto"/>
            <w:hideMark/>
          </w:tcPr>
          <w:p w14:paraId="15017B7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Paid employment in the 30-day period from the end of intervention to 1-month post-intervention.</w:t>
            </w:r>
          </w:p>
        </w:tc>
        <w:tc>
          <w:tcPr>
            <w:tcW w:w="2233" w:type="dxa"/>
          </w:tcPr>
          <w:p w14:paraId="74E9366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There was no difference in paid employment between participants with vocational coaches compared with </w:t>
            </w:r>
            <w:r w:rsidRPr="00584BCB">
              <w:rPr>
                <w:rFonts w:ascii="Rubik" w:hAnsi="Rubik"/>
                <w:color w:val="000000" w:themeColor="text1"/>
                <w:sz w:val="18"/>
                <w:szCs w:val="18"/>
              </w:rPr>
              <w:lastRenderedPageBreak/>
              <w:t>standard coaches (6/14, 42.9% versus 4/14, 28.6%, p=.430).</w:t>
            </w:r>
          </w:p>
        </w:tc>
        <w:tc>
          <w:tcPr>
            <w:tcW w:w="1532" w:type="dxa"/>
            <w:hideMark/>
          </w:tcPr>
          <w:p w14:paraId="31D8E888" w14:textId="77777777" w:rsidR="00BD1825" w:rsidRPr="00584BCB" w:rsidRDefault="00BD1825" w:rsidP="008A031E">
            <w:pPr>
              <w:rPr>
                <w:rFonts w:ascii="Rubik" w:hAnsi="Rubik"/>
                <w:color w:val="000000" w:themeColor="text1"/>
                <w:sz w:val="18"/>
                <w:szCs w:val="18"/>
              </w:rPr>
            </w:pPr>
          </w:p>
        </w:tc>
        <w:tc>
          <w:tcPr>
            <w:tcW w:w="1314" w:type="dxa"/>
            <w:shd w:val="clear" w:color="auto" w:fill="auto"/>
          </w:tcPr>
          <w:p w14:paraId="695D7E7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No effect </w:t>
            </w:r>
          </w:p>
        </w:tc>
      </w:tr>
      <w:tr w:rsidR="00584BCB" w:rsidRPr="00584BCB" w14:paraId="5BFDB557" w14:textId="77777777" w:rsidTr="00BC4A0B">
        <w:trPr>
          <w:cantSplit/>
        </w:trPr>
        <w:tc>
          <w:tcPr>
            <w:tcW w:w="1295" w:type="dxa"/>
            <w:hideMark/>
          </w:tcPr>
          <w:p w14:paraId="2F8CA35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Erickson 2020</w:t>
            </w:r>
          </w:p>
        </w:tc>
        <w:tc>
          <w:tcPr>
            <w:tcW w:w="1448" w:type="dxa"/>
            <w:hideMark/>
          </w:tcPr>
          <w:p w14:paraId="4162F6D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vs. No constraints on the use of other employment support services </w:t>
            </w:r>
          </w:p>
        </w:tc>
        <w:tc>
          <w:tcPr>
            <w:tcW w:w="1505" w:type="dxa"/>
          </w:tcPr>
          <w:p w14:paraId="0CA4F68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SE vs. Passive control condition</w:t>
            </w:r>
          </w:p>
        </w:tc>
        <w:tc>
          <w:tcPr>
            <w:tcW w:w="1417" w:type="dxa"/>
            <w:hideMark/>
          </w:tcPr>
          <w:p w14:paraId="2F92005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0F22FF8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6, 12 </w:t>
            </w:r>
          </w:p>
        </w:tc>
        <w:tc>
          <w:tcPr>
            <w:tcW w:w="3170" w:type="dxa"/>
            <w:hideMark/>
          </w:tcPr>
          <w:p w14:paraId="4CB1277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at least 1 day of work (0-6, 6-12)</w:t>
            </w:r>
          </w:p>
        </w:tc>
        <w:tc>
          <w:tcPr>
            <w:tcW w:w="2233" w:type="dxa"/>
          </w:tcPr>
          <w:p w14:paraId="434503FC" w14:textId="363C072A"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No effect from baseline to 6 months follow-up between the IPS and control conditions (30/50, 60% vs 30/52, 57.7%, </w:t>
            </w:r>
            <w:r w:rsidR="00EE0B7F" w:rsidRPr="00584BCB">
              <w:rPr>
                <w:rFonts w:ascii="Rubik" w:hAnsi="Rubik"/>
                <w:color w:val="000000" w:themeColor="text1"/>
                <w:sz w:val="18"/>
                <w:szCs w:val="18"/>
              </w:rPr>
              <w:t>respectively.</w:t>
            </w:r>
            <w:r w:rsidRPr="00584BCB">
              <w:rPr>
                <w:rFonts w:ascii="Rubik" w:hAnsi="Rubik"/>
                <w:color w:val="000000" w:themeColor="text1"/>
                <w:sz w:val="18"/>
                <w:szCs w:val="18"/>
              </w:rPr>
              <w:t xml:space="preserve"> </w:t>
            </w:r>
          </w:p>
          <w:p w14:paraId="0124AC4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effect from 6 months to end of intervention at 12 months follow-up (34/48, 72.3% versus 25/51, 50.0%)</w:t>
            </w:r>
          </w:p>
          <w:p w14:paraId="44C7888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(please note that the n and % don’t add up, and authors did not clarify)</w:t>
            </w:r>
          </w:p>
        </w:tc>
        <w:tc>
          <w:tcPr>
            <w:tcW w:w="1532" w:type="dxa"/>
            <w:hideMark/>
          </w:tcPr>
          <w:p w14:paraId="35CD3F4B" w14:textId="77777777" w:rsidR="00BD1825" w:rsidRPr="00584BCB" w:rsidRDefault="00BD1825" w:rsidP="008A031E">
            <w:pPr>
              <w:rPr>
                <w:rFonts w:ascii="Rubik" w:hAnsi="Rubik"/>
                <w:color w:val="000000" w:themeColor="text1"/>
                <w:sz w:val="18"/>
                <w:szCs w:val="18"/>
              </w:rPr>
            </w:pPr>
          </w:p>
        </w:tc>
        <w:tc>
          <w:tcPr>
            <w:tcW w:w="1314" w:type="dxa"/>
          </w:tcPr>
          <w:p w14:paraId="1E01E61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effect</w:t>
            </w:r>
          </w:p>
          <w:p w14:paraId="49E47232" w14:textId="77777777" w:rsidR="00BD1825" w:rsidRPr="00584BCB" w:rsidRDefault="00BD1825" w:rsidP="008A031E">
            <w:pPr>
              <w:rPr>
                <w:rFonts w:ascii="Rubik" w:hAnsi="Rubik"/>
                <w:color w:val="000000" w:themeColor="text1"/>
                <w:sz w:val="18"/>
                <w:szCs w:val="18"/>
              </w:rPr>
            </w:pPr>
          </w:p>
        </w:tc>
      </w:tr>
      <w:tr w:rsidR="00584BCB" w:rsidRPr="00584BCB" w14:paraId="1BB75AA3" w14:textId="77777777" w:rsidTr="00BC4A0B">
        <w:trPr>
          <w:cantSplit/>
        </w:trPr>
        <w:tc>
          <w:tcPr>
            <w:tcW w:w="1295" w:type="dxa"/>
            <w:hideMark/>
          </w:tcPr>
          <w:p w14:paraId="2F22A7E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Hoffmann 2012, 2014</w:t>
            </w:r>
          </w:p>
        </w:tc>
        <w:tc>
          <w:tcPr>
            <w:tcW w:w="1448" w:type="dxa"/>
            <w:hideMark/>
          </w:tcPr>
          <w:p w14:paraId="5F8FB523" w14:textId="77777777" w:rsidR="00BD1825" w:rsidRPr="00584BCB" w:rsidRDefault="00BD1825" w:rsidP="008A031E">
            <w:pPr>
              <w:rPr>
                <w:rFonts w:ascii="Rubik" w:hAnsi="Rubik"/>
                <w:color w:val="000000" w:themeColor="text1"/>
                <w:sz w:val="18"/>
                <w:szCs w:val="18"/>
                <w:lang w:val="fr-FR"/>
              </w:rPr>
            </w:pPr>
            <w:r w:rsidRPr="00584BCB">
              <w:rPr>
                <w:rFonts w:ascii="Rubik" w:hAnsi="Rubik"/>
                <w:color w:val="000000" w:themeColor="text1"/>
                <w:sz w:val="18"/>
                <w:szCs w:val="18"/>
                <w:lang w:val="fr-FR"/>
              </w:rPr>
              <w:t xml:space="preserve">Job Coach vs Traditional train-place vocational rehabilitation programmes </w:t>
            </w:r>
          </w:p>
        </w:tc>
        <w:tc>
          <w:tcPr>
            <w:tcW w:w="1505" w:type="dxa"/>
          </w:tcPr>
          <w:p w14:paraId="2724DB5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SE vs. Work experience and skills development</w:t>
            </w:r>
          </w:p>
        </w:tc>
        <w:tc>
          <w:tcPr>
            <w:tcW w:w="1417" w:type="dxa"/>
            <w:hideMark/>
          </w:tcPr>
          <w:p w14:paraId="4BFFEB2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60 </w:t>
            </w:r>
          </w:p>
        </w:tc>
        <w:tc>
          <w:tcPr>
            <w:tcW w:w="1476" w:type="dxa"/>
            <w:hideMark/>
          </w:tcPr>
          <w:p w14:paraId="33ED20B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24, 60</w:t>
            </w:r>
          </w:p>
        </w:tc>
        <w:tc>
          <w:tcPr>
            <w:tcW w:w="3170" w:type="dxa"/>
            <w:hideMark/>
          </w:tcPr>
          <w:p w14:paraId="2B0DF03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In open employment for at least 2 weeks over the 5-year study (60, 0-60)</w:t>
            </w:r>
          </w:p>
          <w:p w14:paraId="50C63E7C" w14:textId="77777777" w:rsidR="00BD1825" w:rsidRPr="00584BCB" w:rsidRDefault="00BD1825" w:rsidP="008A031E">
            <w:pPr>
              <w:rPr>
                <w:rFonts w:ascii="Rubik" w:hAnsi="Rubik"/>
                <w:color w:val="000000" w:themeColor="text1"/>
                <w:sz w:val="18"/>
                <w:szCs w:val="18"/>
              </w:rPr>
            </w:pPr>
          </w:p>
          <w:p w14:paraId="6057EB3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Supported employment (24)</w:t>
            </w:r>
          </w:p>
        </w:tc>
        <w:tc>
          <w:tcPr>
            <w:tcW w:w="2233" w:type="dxa"/>
          </w:tcPr>
          <w:p w14:paraId="27E7AAD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Participants in the Job Coach condition were more likely to work in open employment than TVR participants over the 5-year study period (30/46, 65.2% vs 18/54, 33.3%) (p = 0.002); and on the day of interview at 5 years follow-up (20/46, 43.5% vs 9/54, 16.7%; p = 0.002).</w:t>
            </w:r>
          </w:p>
          <w:p w14:paraId="40DAF1E1" w14:textId="1EB02DCC"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Participants in the control condition were more likely to be in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employment than those in the </w:t>
            </w:r>
            <w:r w:rsidR="00344D22" w:rsidRPr="00584BCB">
              <w:rPr>
                <w:rFonts w:ascii="Rubik" w:hAnsi="Rubik"/>
                <w:color w:val="000000" w:themeColor="text1"/>
                <w:sz w:val="18"/>
                <w:szCs w:val="18"/>
              </w:rPr>
              <w:t>intervention group</w:t>
            </w:r>
            <w:r w:rsidRPr="00584BCB">
              <w:rPr>
                <w:rFonts w:ascii="Rubik" w:hAnsi="Rubik"/>
                <w:color w:val="000000" w:themeColor="text1"/>
                <w:sz w:val="18"/>
                <w:szCs w:val="18"/>
              </w:rPr>
              <w:t xml:space="preserve"> </w:t>
            </w:r>
            <w:r w:rsidRPr="00584BCB">
              <w:rPr>
                <w:rFonts w:ascii="Rubik" w:hAnsi="Rubik"/>
                <w:color w:val="000000" w:themeColor="text1"/>
                <w:sz w:val="18"/>
                <w:szCs w:val="18"/>
              </w:rPr>
              <w:lastRenderedPageBreak/>
              <w:t xml:space="preserve">(control 19/54, 35% vs </w:t>
            </w:r>
            <w:r w:rsidR="00614B5C" w:rsidRPr="00584BCB">
              <w:rPr>
                <w:rFonts w:ascii="Rubik" w:hAnsi="Rubik"/>
                <w:color w:val="000000" w:themeColor="text1"/>
                <w:sz w:val="18"/>
                <w:szCs w:val="18"/>
              </w:rPr>
              <w:t>vocational program</w:t>
            </w:r>
            <w:r w:rsidRPr="00584BCB">
              <w:rPr>
                <w:rFonts w:ascii="Rubik" w:hAnsi="Rubik"/>
                <w:color w:val="000000" w:themeColor="text1"/>
                <w:sz w:val="18"/>
                <w:szCs w:val="18"/>
              </w:rPr>
              <w:t xml:space="preserve"> 12/46, 26%; Sign. &lt;0.001)</w:t>
            </w:r>
          </w:p>
        </w:tc>
        <w:tc>
          <w:tcPr>
            <w:tcW w:w="1532" w:type="dxa"/>
            <w:hideMark/>
          </w:tcPr>
          <w:p w14:paraId="2A7E0A8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 xml:space="preserve">Intervention participants were more often employed at least 50% (130 weeks) in a competitive job (SE 20/46, 43.5% vs control 6/54, 11.1%, respectively; p&lt;0.001). </w:t>
            </w:r>
          </w:p>
          <w:p w14:paraId="1222F86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There were no significant differences in vocational </w:t>
            </w:r>
            <w:r w:rsidRPr="00584BCB">
              <w:rPr>
                <w:rFonts w:ascii="Rubik" w:hAnsi="Rubik"/>
                <w:color w:val="000000" w:themeColor="text1"/>
                <w:sz w:val="18"/>
                <w:szCs w:val="18"/>
              </w:rPr>
              <w:lastRenderedPageBreak/>
              <w:t xml:space="preserve">program or mental health service costs between the groups. However, participants in the Job Coach condition had significantly higher income than controls. </w:t>
            </w:r>
          </w:p>
        </w:tc>
        <w:tc>
          <w:tcPr>
            <w:tcW w:w="1314" w:type="dxa"/>
          </w:tcPr>
          <w:p w14:paraId="629F7E26" w14:textId="3CB8A4E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 xml:space="preserve">Favours Job Coach for open employment, but not </w:t>
            </w:r>
            <w:r w:rsidR="001007FB" w:rsidRPr="00584BCB">
              <w:rPr>
                <w:rFonts w:ascii="Rubik" w:hAnsi="Rubik"/>
                <w:color w:val="000000" w:themeColor="text1"/>
                <w:sz w:val="18"/>
                <w:szCs w:val="18"/>
              </w:rPr>
              <w:t>supported</w:t>
            </w:r>
            <w:r w:rsidRPr="00584BCB">
              <w:rPr>
                <w:rFonts w:ascii="Rubik" w:hAnsi="Rubik"/>
                <w:color w:val="000000" w:themeColor="text1"/>
                <w:sz w:val="18"/>
                <w:szCs w:val="18"/>
              </w:rPr>
              <w:t xml:space="preserve"> employment</w:t>
            </w:r>
          </w:p>
        </w:tc>
      </w:tr>
      <w:tr w:rsidR="00584BCB" w:rsidRPr="00584BCB" w14:paraId="73FC7674" w14:textId="77777777" w:rsidTr="00BC4A0B">
        <w:trPr>
          <w:cantSplit/>
        </w:trPr>
        <w:tc>
          <w:tcPr>
            <w:tcW w:w="1295" w:type="dxa"/>
            <w:hideMark/>
          </w:tcPr>
          <w:p w14:paraId="641CE91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Howard 2010, Heslin 2011</w:t>
            </w:r>
          </w:p>
        </w:tc>
        <w:tc>
          <w:tcPr>
            <w:tcW w:w="1448" w:type="dxa"/>
            <w:shd w:val="clear" w:color="auto" w:fill="auto"/>
            <w:hideMark/>
          </w:tcPr>
          <w:p w14:paraId="44271B4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vs. Local traditional vocational services</w:t>
            </w:r>
          </w:p>
        </w:tc>
        <w:tc>
          <w:tcPr>
            <w:tcW w:w="1505" w:type="dxa"/>
            <w:shd w:val="clear" w:color="auto" w:fill="auto"/>
          </w:tcPr>
          <w:p w14:paraId="2B4F5428" w14:textId="20FDC991" w:rsidR="00BD1825" w:rsidRPr="00584BCB" w:rsidRDefault="008B60C3" w:rsidP="008A031E">
            <w:pPr>
              <w:rPr>
                <w:rFonts w:ascii="Rubik" w:hAnsi="Rubik"/>
                <w:color w:val="000000" w:themeColor="text1"/>
                <w:sz w:val="18"/>
                <w:szCs w:val="18"/>
              </w:rPr>
            </w:pPr>
            <w:r w:rsidRPr="00584BCB">
              <w:rPr>
                <w:rFonts w:ascii="Rubik" w:hAnsi="Rubik"/>
                <w:color w:val="000000" w:themeColor="text1"/>
                <w:sz w:val="18"/>
                <w:szCs w:val="18"/>
              </w:rPr>
              <w:t>Vocational program</w:t>
            </w:r>
            <w:r w:rsidR="00BD1825" w:rsidRPr="00584BCB">
              <w:rPr>
                <w:rFonts w:ascii="Rubik" w:hAnsi="Rubik"/>
                <w:color w:val="000000" w:themeColor="text1"/>
                <w:sz w:val="18"/>
                <w:szCs w:val="18"/>
              </w:rPr>
              <w:t xml:space="preserve"> vs skills development and career guidance </w:t>
            </w:r>
          </w:p>
        </w:tc>
        <w:tc>
          <w:tcPr>
            <w:tcW w:w="1417" w:type="dxa"/>
            <w:shd w:val="clear" w:color="auto" w:fill="auto"/>
            <w:hideMark/>
          </w:tcPr>
          <w:p w14:paraId="1D5C4DB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24</w:t>
            </w:r>
          </w:p>
        </w:tc>
        <w:tc>
          <w:tcPr>
            <w:tcW w:w="1476" w:type="dxa"/>
            <w:hideMark/>
          </w:tcPr>
          <w:p w14:paraId="791D138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24</w:t>
            </w:r>
          </w:p>
        </w:tc>
        <w:tc>
          <w:tcPr>
            <w:tcW w:w="3170" w:type="dxa"/>
            <w:hideMark/>
          </w:tcPr>
          <w:p w14:paraId="6B8323E4" w14:textId="525824D2"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Open employment defined as a job paying at least the minimum wage, located in a mainstream socially integrated setting not set aside for persons with </w:t>
            </w:r>
            <w:r w:rsidR="000823D5" w:rsidRPr="00584BCB">
              <w:rPr>
                <w:rFonts w:ascii="Rubik" w:hAnsi="Rubik"/>
                <w:color w:val="000000" w:themeColor="text1"/>
                <w:sz w:val="18"/>
                <w:szCs w:val="18"/>
              </w:rPr>
              <w:t>disability</w:t>
            </w:r>
            <w:r w:rsidRPr="00584BCB">
              <w:rPr>
                <w:rFonts w:ascii="Rubik" w:hAnsi="Rubik"/>
                <w:color w:val="000000" w:themeColor="text1"/>
                <w:sz w:val="18"/>
                <w:szCs w:val="18"/>
              </w:rPr>
              <w:t xml:space="preserve">, held independently (i.e. was not agency owned) and the participant was in continuous employment for at least 30 days (with parttime employment rated pro-rata) (0-12, 0-24) </w:t>
            </w:r>
          </w:p>
        </w:tc>
        <w:tc>
          <w:tcPr>
            <w:tcW w:w="2233" w:type="dxa"/>
          </w:tcPr>
          <w:p w14:paraId="2104D9C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participants in the IPS condition were in open employment from baseline to 24 months, compared to participants in the TVR condition (IPS 22.1% vs. TVR 11.6%, risk ratio 1.91; 95% CI 0.98 to 3.74; p=0.053; adjusted analysis p=0.041)</w:t>
            </w:r>
          </w:p>
        </w:tc>
        <w:tc>
          <w:tcPr>
            <w:tcW w:w="1532" w:type="dxa"/>
            <w:hideMark/>
          </w:tcPr>
          <w:p w14:paraId="5223ECE1" w14:textId="6C14474D"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There were no differences in self-esteem as measured with the Rosenberg Self Esteem questionnaire at 12 months (P </w:t>
            </w:r>
            <w:r w:rsidR="00E448DB" w:rsidRPr="00584BCB">
              <w:rPr>
                <w:rFonts w:ascii="Rubik" w:hAnsi="Rubik"/>
                <w:color w:val="000000" w:themeColor="text1"/>
                <w:sz w:val="18"/>
                <w:szCs w:val="18"/>
              </w:rPr>
              <w:t>= 0.90</w:t>
            </w:r>
            <w:r w:rsidRPr="00584BCB">
              <w:rPr>
                <w:rFonts w:ascii="Rubik" w:hAnsi="Rubik"/>
                <w:color w:val="000000" w:themeColor="text1"/>
                <w:sz w:val="18"/>
                <w:szCs w:val="18"/>
              </w:rPr>
              <w:t>) or 24 months P = 0.47)</w:t>
            </w:r>
          </w:p>
          <w:p w14:paraId="47434D0D" w14:textId="77777777" w:rsidR="00BD1825" w:rsidRPr="00584BCB" w:rsidRDefault="00BD1825" w:rsidP="008A031E">
            <w:pPr>
              <w:rPr>
                <w:rFonts w:ascii="Rubik" w:hAnsi="Rubik"/>
                <w:color w:val="000000" w:themeColor="text1"/>
                <w:sz w:val="18"/>
                <w:szCs w:val="18"/>
              </w:rPr>
            </w:pPr>
          </w:p>
          <w:p w14:paraId="7BEFD957" w14:textId="64ADF2A5"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There was no difference in job satisfaction at the 12 month follow-up using the Indiana Job Satisfaction Scale between employed participants in the two groups (P </w:t>
            </w:r>
            <w:r w:rsidR="00E448DB" w:rsidRPr="00584BCB">
              <w:rPr>
                <w:rFonts w:ascii="Rubik" w:hAnsi="Rubik"/>
                <w:color w:val="000000" w:themeColor="text1"/>
                <w:sz w:val="18"/>
                <w:szCs w:val="18"/>
              </w:rPr>
              <w:t>= 0.29</w:t>
            </w:r>
            <w:r w:rsidRPr="00584BCB">
              <w:rPr>
                <w:rFonts w:ascii="Rubik" w:hAnsi="Rubik"/>
                <w:color w:val="000000" w:themeColor="text1"/>
                <w:sz w:val="18"/>
                <w:szCs w:val="18"/>
              </w:rPr>
              <w:t>).</w:t>
            </w:r>
          </w:p>
          <w:p w14:paraId="3B71D4D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Cost-effectiveness showed no substantial differences.</w:t>
            </w:r>
          </w:p>
        </w:tc>
        <w:tc>
          <w:tcPr>
            <w:tcW w:w="1314" w:type="dxa"/>
          </w:tcPr>
          <w:p w14:paraId="18FF2E3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 xml:space="preserve">Favours IPS </w:t>
            </w:r>
          </w:p>
          <w:p w14:paraId="109D0CB0" w14:textId="77777777" w:rsidR="00BD1825" w:rsidRPr="00584BCB" w:rsidRDefault="00BD1825" w:rsidP="008A031E">
            <w:pPr>
              <w:rPr>
                <w:rFonts w:ascii="Rubik" w:hAnsi="Rubik"/>
                <w:color w:val="000000" w:themeColor="text1"/>
                <w:sz w:val="18"/>
                <w:szCs w:val="18"/>
              </w:rPr>
            </w:pPr>
          </w:p>
        </w:tc>
      </w:tr>
      <w:tr w:rsidR="00584BCB" w:rsidRPr="00584BCB" w14:paraId="5854E68F" w14:textId="77777777" w:rsidTr="00BC4A0B">
        <w:trPr>
          <w:cantSplit/>
        </w:trPr>
        <w:tc>
          <w:tcPr>
            <w:tcW w:w="1295" w:type="dxa"/>
            <w:hideMark/>
          </w:tcPr>
          <w:p w14:paraId="37593B0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Killackey 2019</w:t>
            </w:r>
          </w:p>
        </w:tc>
        <w:tc>
          <w:tcPr>
            <w:tcW w:w="1448" w:type="dxa"/>
            <w:hideMark/>
          </w:tcPr>
          <w:p w14:paraId="753A2AD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(Good fidelity) vs. Referral to external government-contracted employment agencies</w:t>
            </w:r>
          </w:p>
        </w:tc>
        <w:tc>
          <w:tcPr>
            <w:tcW w:w="1505" w:type="dxa"/>
          </w:tcPr>
          <w:p w14:paraId="5389ABB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vs TVR</w:t>
            </w:r>
          </w:p>
        </w:tc>
        <w:tc>
          <w:tcPr>
            <w:tcW w:w="1417" w:type="dxa"/>
            <w:hideMark/>
          </w:tcPr>
          <w:p w14:paraId="638DFF1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 </w:t>
            </w:r>
          </w:p>
        </w:tc>
        <w:tc>
          <w:tcPr>
            <w:tcW w:w="1476" w:type="dxa"/>
            <w:hideMark/>
          </w:tcPr>
          <w:p w14:paraId="597F431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 </w:t>
            </w:r>
          </w:p>
        </w:tc>
        <w:tc>
          <w:tcPr>
            <w:tcW w:w="3170" w:type="dxa"/>
            <w:hideMark/>
          </w:tcPr>
          <w:p w14:paraId="023D6BE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defined as working in a job in the open labour marker that paid the legislated minimum wage for a minimum of 1 day in the previous 6-month period. (0-6)</w:t>
            </w:r>
          </w:p>
        </w:tc>
        <w:tc>
          <w:tcPr>
            <w:tcW w:w="2233" w:type="dxa"/>
          </w:tcPr>
          <w:p w14:paraId="0961264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IPS participants were more likely to work compared to control participants (47/ 66, 71.2% versus 29/60, 48.0% respectively; OR = 3.40, 95% CI 1.17-9.91, z = 2.25, P = 0.025).</w:t>
            </w:r>
          </w:p>
        </w:tc>
        <w:tc>
          <w:tcPr>
            <w:tcW w:w="1532" w:type="dxa"/>
            <w:hideMark/>
          </w:tcPr>
          <w:p w14:paraId="6F0655D2" w14:textId="77777777" w:rsidR="00BD1825" w:rsidRPr="00584BCB" w:rsidRDefault="00BD1825" w:rsidP="008A031E">
            <w:pPr>
              <w:rPr>
                <w:rFonts w:ascii="Rubik" w:hAnsi="Rubik"/>
                <w:color w:val="000000" w:themeColor="text1"/>
                <w:sz w:val="18"/>
                <w:szCs w:val="18"/>
              </w:rPr>
            </w:pPr>
          </w:p>
        </w:tc>
        <w:tc>
          <w:tcPr>
            <w:tcW w:w="1314" w:type="dxa"/>
          </w:tcPr>
          <w:p w14:paraId="61175CE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0BAA36EC" w14:textId="77777777" w:rsidTr="00BC4A0B">
        <w:trPr>
          <w:cantSplit/>
        </w:trPr>
        <w:tc>
          <w:tcPr>
            <w:tcW w:w="1295" w:type="dxa"/>
          </w:tcPr>
          <w:p w14:paraId="4C1DDC7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Lecomte 2020</w:t>
            </w:r>
          </w:p>
        </w:tc>
        <w:tc>
          <w:tcPr>
            <w:tcW w:w="1448" w:type="dxa"/>
          </w:tcPr>
          <w:p w14:paraId="309F4C8C" w14:textId="162006FB"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Cognitive behaviour therapy group intervention adapted for </w:t>
            </w:r>
            <w:r w:rsidR="008B60C3" w:rsidRPr="00584BCB">
              <w:rPr>
                <w:rFonts w:ascii="Rubik" w:hAnsi="Rubik"/>
                <w:color w:val="000000" w:themeColor="text1"/>
                <w:sz w:val="18"/>
                <w:szCs w:val="18"/>
              </w:rPr>
              <w:t>vocational</w:t>
            </w:r>
            <w:r w:rsidRPr="00584BCB">
              <w:rPr>
                <w:rFonts w:ascii="Rubik" w:hAnsi="Rubik"/>
                <w:color w:val="000000" w:themeColor="text1"/>
                <w:sz w:val="18"/>
                <w:szCs w:val="18"/>
              </w:rPr>
              <w:t xml:space="preserve"> programs (CBT) plus supported employment program vs. supported employment program only. </w:t>
            </w:r>
          </w:p>
        </w:tc>
        <w:tc>
          <w:tcPr>
            <w:tcW w:w="1505" w:type="dxa"/>
          </w:tcPr>
          <w:p w14:paraId="6A485AB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SE and skills development vs. SE </w:t>
            </w:r>
          </w:p>
        </w:tc>
        <w:tc>
          <w:tcPr>
            <w:tcW w:w="1417" w:type="dxa"/>
          </w:tcPr>
          <w:p w14:paraId="74CE1A9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1 month</w:t>
            </w:r>
          </w:p>
        </w:tc>
        <w:tc>
          <w:tcPr>
            <w:tcW w:w="1476" w:type="dxa"/>
          </w:tcPr>
          <w:p w14:paraId="21DEFE7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tcPr>
          <w:p w14:paraId="02D47BB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(0-12). A minimum of one week.</w:t>
            </w:r>
          </w:p>
        </w:tc>
        <w:tc>
          <w:tcPr>
            <w:tcW w:w="2233" w:type="dxa"/>
          </w:tcPr>
          <w:p w14:paraId="2C99D6B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Participants in the CBT-SE intervention were more likely to work than those in the SE only condition (57/76, 75.0% versus 37/64, 57.8% respectively; p &lt; 0.05; OR 2.2, 95% CI: 1.0, 4.8). *please note, this was not an intention-to-treat analysis, but rather -as treated.</w:t>
            </w:r>
          </w:p>
        </w:tc>
        <w:tc>
          <w:tcPr>
            <w:tcW w:w="1532" w:type="dxa"/>
          </w:tcPr>
          <w:p w14:paraId="24CF2B23" w14:textId="77777777" w:rsidR="00BD1825" w:rsidRPr="00584BCB" w:rsidRDefault="00BD1825" w:rsidP="008A031E">
            <w:pPr>
              <w:rPr>
                <w:rFonts w:ascii="Rubik" w:hAnsi="Rubik"/>
                <w:color w:val="000000" w:themeColor="text1"/>
                <w:sz w:val="18"/>
                <w:szCs w:val="18"/>
              </w:rPr>
            </w:pPr>
          </w:p>
        </w:tc>
        <w:tc>
          <w:tcPr>
            <w:tcW w:w="1314" w:type="dxa"/>
          </w:tcPr>
          <w:p w14:paraId="3AB6A37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Favours CBT-SE </w:t>
            </w:r>
          </w:p>
        </w:tc>
      </w:tr>
      <w:tr w:rsidR="00584BCB" w:rsidRPr="00584BCB" w14:paraId="233339C0" w14:textId="77777777" w:rsidTr="00BC4A0B">
        <w:trPr>
          <w:cantSplit/>
        </w:trPr>
        <w:tc>
          <w:tcPr>
            <w:tcW w:w="1295" w:type="dxa"/>
            <w:hideMark/>
          </w:tcPr>
          <w:p w14:paraId="1C09A6A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McGurk 2015</w:t>
            </w:r>
          </w:p>
        </w:tc>
        <w:tc>
          <w:tcPr>
            <w:tcW w:w="1448" w:type="dxa"/>
            <w:hideMark/>
          </w:tcPr>
          <w:p w14:paraId="394BCB0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Enhanced supported employment plus the Thinking Skills for Work Program vs Enhanced supported </w:t>
            </w:r>
            <w:r w:rsidRPr="00584BCB">
              <w:rPr>
                <w:rFonts w:ascii="Rubik" w:hAnsi="Rubik"/>
                <w:color w:val="000000" w:themeColor="text1"/>
                <w:sz w:val="18"/>
                <w:szCs w:val="18"/>
              </w:rPr>
              <w:lastRenderedPageBreak/>
              <w:t xml:space="preserve">employment only. </w:t>
            </w:r>
          </w:p>
          <w:p w14:paraId="2BB8D4BD" w14:textId="77777777" w:rsidR="00BD1825" w:rsidRPr="00584BCB" w:rsidRDefault="00BD1825" w:rsidP="008A031E">
            <w:pPr>
              <w:rPr>
                <w:rFonts w:ascii="Rubik" w:hAnsi="Rubik"/>
                <w:color w:val="000000" w:themeColor="text1"/>
                <w:sz w:val="18"/>
                <w:szCs w:val="18"/>
              </w:rPr>
            </w:pPr>
          </w:p>
        </w:tc>
        <w:tc>
          <w:tcPr>
            <w:tcW w:w="1505" w:type="dxa"/>
          </w:tcPr>
          <w:p w14:paraId="6CC62089" w14:textId="77777777" w:rsidR="00BD1825" w:rsidRPr="00584BCB" w:rsidRDefault="00BD1825" w:rsidP="008A031E">
            <w:pPr>
              <w:rPr>
                <w:rFonts w:ascii="Rubik" w:hAnsi="Rubik"/>
                <w:color w:val="000000" w:themeColor="text1"/>
                <w:sz w:val="18"/>
                <w:szCs w:val="18"/>
              </w:rPr>
            </w:pPr>
          </w:p>
        </w:tc>
        <w:tc>
          <w:tcPr>
            <w:tcW w:w="1417" w:type="dxa"/>
            <w:hideMark/>
          </w:tcPr>
          <w:p w14:paraId="07DB2BB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6</w:t>
            </w:r>
          </w:p>
        </w:tc>
        <w:tc>
          <w:tcPr>
            <w:tcW w:w="1476" w:type="dxa"/>
            <w:hideMark/>
          </w:tcPr>
          <w:p w14:paraId="7E2906BC" w14:textId="1399E897" w:rsidR="00BD1825" w:rsidRPr="00584BCB" w:rsidRDefault="00EB212A" w:rsidP="008A031E">
            <w:pPr>
              <w:rPr>
                <w:rFonts w:ascii="Rubik" w:hAnsi="Rubik"/>
                <w:color w:val="000000" w:themeColor="text1"/>
                <w:sz w:val="18"/>
                <w:szCs w:val="18"/>
              </w:rPr>
            </w:pPr>
            <w:r w:rsidRPr="00584BCB">
              <w:rPr>
                <w:rFonts w:ascii="Rubik" w:hAnsi="Rubik"/>
                <w:color w:val="000000" w:themeColor="text1"/>
                <w:sz w:val="18"/>
                <w:szCs w:val="18"/>
              </w:rPr>
              <w:t xml:space="preserve">6, </w:t>
            </w:r>
            <w:r w:rsidR="00BD1825" w:rsidRPr="00584BCB">
              <w:rPr>
                <w:rFonts w:ascii="Rubik" w:hAnsi="Rubik"/>
                <w:color w:val="000000" w:themeColor="text1"/>
                <w:sz w:val="18"/>
                <w:szCs w:val="18"/>
              </w:rPr>
              <w:t xml:space="preserve">24 </w:t>
            </w:r>
          </w:p>
        </w:tc>
        <w:tc>
          <w:tcPr>
            <w:tcW w:w="3170" w:type="dxa"/>
            <w:hideMark/>
          </w:tcPr>
          <w:p w14:paraId="06F452C9" w14:textId="5ECAEB10"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(0</w:t>
            </w:r>
            <w:r w:rsidR="00EB212A" w:rsidRPr="00584BCB">
              <w:rPr>
                <w:rFonts w:ascii="Rubik" w:hAnsi="Rubik"/>
                <w:color w:val="000000" w:themeColor="text1"/>
                <w:sz w:val="18"/>
                <w:szCs w:val="18"/>
              </w:rPr>
              <w:t>-6, 0</w:t>
            </w:r>
            <w:r w:rsidRPr="00584BCB">
              <w:rPr>
                <w:rFonts w:ascii="Rubik" w:hAnsi="Rubik"/>
                <w:color w:val="000000" w:themeColor="text1"/>
                <w:sz w:val="18"/>
                <w:szCs w:val="18"/>
              </w:rPr>
              <w:t>-24 months)</w:t>
            </w:r>
          </w:p>
          <w:p w14:paraId="59AB80A2" w14:textId="142E05DC" w:rsidR="00BD1825" w:rsidRPr="00584BCB" w:rsidRDefault="00515315" w:rsidP="008A031E">
            <w:pPr>
              <w:rPr>
                <w:rFonts w:ascii="Rubik" w:hAnsi="Rubik"/>
                <w:color w:val="000000" w:themeColor="text1"/>
                <w:sz w:val="18"/>
                <w:szCs w:val="18"/>
              </w:rPr>
            </w:pPr>
            <w:r w:rsidRPr="00584BCB">
              <w:rPr>
                <w:rFonts w:ascii="Rubik" w:hAnsi="Rubik"/>
                <w:color w:val="000000" w:themeColor="text1"/>
                <w:sz w:val="18"/>
                <w:szCs w:val="18"/>
              </w:rPr>
              <w:t>Paid employment (0-24)</w:t>
            </w:r>
          </w:p>
        </w:tc>
        <w:tc>
          <w:tcPr>
            <w:tcW w:w="2233" w:type="dxa"/>
          </w:tcPr>
          <w:p w14:paraId="03850A32" w14:textId="3C260C2C" w:rsidR="00BD1825" w:rsidRPr="00584BCB" w:rsidRDefault="00515315" w:rsidP="008A031E">
            <w:pPr>
              <w:rPr>
                <w:rFonts w:ascii="Rubik" w:hAnsi="Rubik"/>
                <w:color w:val="000000" w:themeColor="text1"/>
                <w:sz w:val="18"/>
                <w:szCs w:val="18"/>
              </w:rPr>
            </w:pPr>
            <w:r w:rsidRPr="00584BCB">
              <w:rPr>
                <w:rFonts w:ascii="Rubik" w:hAnsi="Rubik"/>
                <w:color w:val="000000" w:themeColor="text1"/>
                <w:sz w:val="18"/>
                <w:szCs w:val="18"/>
              </w:rPr>
              <w:t xml:space="preserve">More (approximately 35.0%, only reported in </w:t>
            </w:r>
            <w:r w:rsidR="0070208A" w:rsidRPr="00584BCB">
              <w:rPr>
                <w:rFonts w:ascii="Rubik" w:hAnsi="Rubik"/>
                <w:color w:val="000000" w:themeColor="text1"/>
                <w:sz w:val="18"/>
                <w:szCs w:val="18"/>
              </w:rPr>
              <w:t xml:space="preserve">a </w:t>
            </w:r>
            <w:r w:rsidRPr="00584BCB">
              <w:rPr>
                <w:rFonts w:ascii="Rubik" w:hAnsi="Rubik"/>
                <w:color w:val="000000" w:themeColor="text1"/>
                <w:sz w:val="18"/>
                <w:szCs w:val="18"/>
              </w:rPr>
              <w:t xml:space="preserve">graph) of participants in the intervention obtained open employment at 6 months, compared with approximately 28.0% of those in the </w:t>
            </w:r>
            <w:r w:rsidR="00BA353B" w:rsidRPr="00584BCB">
              <w:rPr>
                <w:rFonts w:ascii="Rubik" w:hAnsi="Rubik"/>
                <w:color w:val="000000" w:themeColor="text1"/>
                <w:sz w:val="18"/>
                <w:szCs w:val="18"/>
              </w:rPr>
              <w:t xml:space="preserve">control </w:t>
            </w:r>
            <w:r w:rsidR="00BA353B" w:rsidRPr="00584BCB">
              <w:rPr>
                <w:rFonts w:ascii="Rubik" w:hAnsi="Rubik"/>
                <w:color w:val="000000" w:themeColor="text1"/>
                <w:sz w:val="18"/>
                <w:szCs w:val="18"/>
              </w:rPr>
              <w:lastRenderedPageBreak/>
              <w:t>group (</w:t>
            </w:r>
            <w:r w:rsidR="0070208A" w:rsidRPr="00584BCB">
              <w:rPr>
                <w:rFonts w:ascii="Rubik" w:hAnsi="Rubik"/>
                <w:color w:val="000000" w:themeColor="text1"/>
                <w:sz w:val="18"/>
                <w:szCs w:val="18"/>
              </w:rPr>
              <w:t xml:space="preserve">approximate %, </w:t>
            </w:r>
            <w:r w:rsidR="00BA353B" w:rsidRPr="00584BCB">
              <w:rPr>
                <w:rFonts w:ascii="Rubik" w:hAnsi="Rubik"/>
                <w:color w:val="000000" w:themeColor="text1"/>
                <w:sz w:val="18"/>
                <w:szCs w:val="18"/>
              </w:rPr>
              <w:t>no statistics).</w:t>
            </w:r>
          </w:p>
          <w:p w14:paraId="21E4D22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IPS participants than control participants were in paid employment from 0 to 24 months from baseline (37 out of 57, 65% vs 22 out of 50, 44%) from 0 to 24 months from baseline (p = 0.03)</w:t>
            </w:r>
          </w:p>
        </w:tc>
        <w:tc>
          <w:tcPr>
            <w:tcW w:w="1532" w:type="dxa"/>
            <w:hideMark/>
          </w:tcPr>
          <w:p w14:paraId="7F50F816" w14:textId="1483B4F1" w:rsidR="00515315" w:rsidRPr="00584BCB" w:rsidRDefault="00515315" w:rsidP="008A031E">
            <w:pPr>
              <w:rPr>
                <w:rFonts w:ascii="Rubik" w:hAnsi="Rubik"/>
                <w:color w:val="000000" w:themeColor="text1"/>
                <w:sz w:val="18"/>
                <w:szCs w:val="18"/>
              </w:rPr>
            </w:pPr>
            <w:r w:rsidRPr="00584BCB">
              <w:rPr>
                <w:rFonts w:ascii="Rubik" w:hAnsi="Rubik"/>
                <w:color w:val="000000" w:themeColor="text1"/>
                <w:sz w:val="18"/>
                <w:szCs w:val="18"/>
              </w:rPr>
              <w:lastRenderedPageBreak/>
              <w:t xml:space="preserve">More intervention participants than control participants were in open employment from 0 to 24 months from </w:t>
            </w:r>
            <w:r w:rsidRPr="00584BCB">
              <w:rPr>
                <w:rFonts w:ascii="Rubik" w:hAnsi="Rubik"/>
                <w:color w:val="000000" w:themeColor="text1"/>
                <w:sz w:val="18"/>
                <w:szCs w:val="18"/>
              </w:rPr>
              <w:lastRenderedPageBreak/>
              <w:t xml:space="preserve">baseline (34 out of 57, 60% vs 18 out of 50, 36%) p = </w:t>
            </w:r>
            <w:r w:rsidR="00E448DB" w:rsidRPr="00584BCB">
              <w:rPr>
                <w:rFonts w:ascii="Rubik" w:hAnsi="Rubik"/>
                <w:color w:val="000000" w:themeColor="text1"/>
                <w:sz w:val="18"/>
                <w:szCs w:val="18"/>
              </w:rPr>
              <w:t>0.02.</w:t>
            </w:r>
            <w:r w:rsidRPr="00584BCB">
              <w:rPr>
                <w:rFonts w:ascii="Rubik" w:hAnsi="Rubik"/>
                <w:color w:val="000000" w:themeColor="text1"/>
                <w:sz w:val="18"/>
                <w:szCs w:val="18"/>
              </w:rPr>
              <w:t xml:space="preserve"> </w:t>
            </w:r>
          </w:p>
          <w:p w14:paraId="625E8ED6" w14:textId="77777777" w:rsidR="00BD1825" w:rsidRPr="00584BCB" w:rsidRDefault="00BD1825" w:rsidP="008A031E">
            <w:pPr>
              <w:rPr>
                <w:rFonts w:ascii="Rubik" w:hAnsi="Rubik"/>
                <w:color w:val="000000" w:themeColor="text1"/>
                <w:sz w:val="18"/>
                <w:szCs w:val="18"/>
              </w:rPr>
            </w:pPr>
          </w:p>
        </w:tc>
        <w:tc>
          <w:tcPr>
            <w:tcW w:w="1314" w:type="dxa"/>
          </w:tcPr>
          <w:p w14:paraId="609A86D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Favours Thinking Skills for Work Program</w:t>
            </w:r>
          </w:p>
        </w:tc>
      </w:tr>
      <w:tr w:rsidR="00584BCB" w:rsidRPr="00584BCB" w14:paraId="4F10C01F" w14:textId="77777777" w:rsidTr="00BC4A0B">
        <w:trPr>
          <w:cantSplit/>
        </w:trPr>
        <w:tc>
          <w:tcPr>
            <w:tcW w:w="1295" w:type="dxa"/>
            <w:hideMark/>
          </w:tcPr>
          <w:p w14:paraId="7F3B403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Michon 2014</w:t>
            </w:r>
          </w:p>
        </w:tc>
        <w:tc>
          <w:tcPr>
            <w:tcW w:w="1448" w:type="dxa"/>
            <w:hideMark/>
          </w:tcPr>
          <w:p w14:paraId="1F1B19B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(moderate to good) vs. Traditional vocational rehabilitation </w:t>
            </w:r>
          </w:p>
        </w:tc>
        <w:tc>
          <w:tcPr>
            <w:tcW w:w="1505" w:type="dxa"/>
          </w:tcPr>
          <w:p w14:paraId="6DB5F05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Skills development and work experience</w:t>
            </w:r>
          </w:p>
        </w:tc>
        <w:tc>
          <w:tcPr>
            <w:tcW w:w="1417" w:type="dxa"/>
            <w:shd w:val="clear" w:color="auto" w:fill="auto"/>
            <w:hideMark/>
          </w:tcPr>
          <w:p w14:paraId="77D1632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limit (although a limit of 36 months is often prescribed by financing systems in the Netherlands)</w:t>
            </w:r>
          </w:p>
        </w:tc>
        <w:tc>
          <w:tcPr>
            <w:tcW w:w="1476" w:type="dxa"/>
            <w:hideMark/>
          </w:tcPr>
          <w:p w14:paraId="36D51E8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30 (last follow-up timepoint)</w:t>
            </w:r>
          </w:p>
        </w:tc>
        <w:tc>
          <w:tcPr>
            <w:tcW w:w="3170" w:type="dxa"/>
            <w:hideMark/>
          </w:tcPr>
          <w:p w14:paraId="2901727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(worked in a competitive job for one day or more) (competitive employment was defined as having a paid job in a company or organization in the regular labour market, against prevailing wages, not set aside for persons with a disability, that is, in an integrated work setting).  (0-30 months)</w:t>
            </w:r>
          </w:p>
        </w:tc>
        <w:tc>
          <w:tcPr>
            <w:tcW w:w="2233" w:type="dxa"/>
          </w:tcPr>
          <w:p w14:paraId="3791335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IPS participants worked compared to TVR participants, (31/71, 43.7% versus 20/79, 25.3%, p &lt; .05.)</w:t>
            </w:r>
          </w:p>
        </w:tc>
        <w:tc>
          <w:tcPr>
            <w:tcW w:w="1532" w:type="dxa"/>
            <w:hideMark/>
          </w:tcPr>
          <w:p w14:paraId="586C8BD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The Rosenberg Self Esteem questionnaire showed no significant difference between IPS and traditional vocational rehabilitation at 30-month follow-up</w:t>
            </w:r>
          </w:p>
        </w:tc>
        <w:tc>
          <w:tcPr>
            <w:tcW w:w="1314" w:type="dxa"/>
          </w:tcPr>
          <w:p w14:paraId="573CB5A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368F918E" w14:textId="77777777" w:rsidTr="00BC4A0B">
        <w:trPr>
          <w:cantSplit/>
        </w:trPr>
        <w:tc>
          <w:tcPr>
            <w:tcW w:w="1295" w:type="dxa"/>
            <w:hideMark/>
          </w:tcPr>
          <w:p w14:paraId="50A74EE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Nuechterlein 2020</w:t>
            </w:r>
          </w:p>
        </w:tc>
        <w:tc>
          <w:tcPr>
            <w:tcW w:w="1448" w:type="dxa"/>
            <w:hideMark/>
          </w:tcPr>
          <w:p w14:paraId="3D8B1ED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plus Workplace Fundamentals Module vs. Conventional Brokered Vocational Rehabilitation plus social skills training intervention </w:t>
            </w:r>
          </w:p>
          <w:p w14:paraId="1D2A9138" w14:textId="77777777" w:rsidR="00BD1825" w:rsidRPr="00584BCB" w:rsidRDefault="00BD1825" w:rsidP="008A031E">
            <w:pPr>
              <w:rPr>
                <w:rFonts w:ascii="Rubik" w:hAnsi="Rubik"/>
                <w:color w:val="000000" w:themeColor="text1"/>
                <w:sz w:val="18"/>
                <w:szCs w:val="18"/>
              </w:rPr>
            </w:pPr>
          </w:p>
        </w:tc>
        <w:tc>
          <w:tcPr>
            <w:tcW w:w="1505" w:type="dxa"/>
          </w:tcPr>
          <w:p w14:paraId="0511E1E5" w14:textId="77777777" w:rsidR="00BD1825" w:rsidRPr="00584BCB" w:rsidRDefault="00BD1825" w:rsidP="008A031E">
            <w:pPr>
              <w:rPr>
                <w:rFonts w:ascii="Rubik" w:hAnsi="Rubik"/>
                <w:color w:val="000000" w:themeColor="text1"/>
                <w:sz w:val="18"/>
                <w:szCs w:val="18"/>
              </w:rPr>
            </w:pPr>
          </w:p>
        </w:tc>
        <w:tc>
          <w:tcPr>
            <w:tcW w:w="1417" w:type="dxa"/>
            <w:hideMark/>
          </w:tcPr>
          <w:p w14:paraId="1A13CBC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18</w:t>
            </w:r>
          </w:p>
        </w:tc>
        <w:tc>
          <w:tcPr>
            <w:tcW w:w="1476" w:type="dxa"/>
            <w:hideMark/>
          </w:tcPr>
          <w:p w14:paraId="047D9D5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6, 18 </w:t>
            </w:r>
          </w:p>
        </w:tc>
        <w:tc>
          <w:tcPr>
            <w:tcW w:w="3170" w:type="dxa"/>
            <w:hideMark/>
          </w:tcPr>
          <w:p w14:paraId="6209B26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defined as paid work in a job that was open to applications from the general public (competitive employment), no minimum number of days of employment, but typically participants were employed at least several weeks.” (1-6, 7-18 months)</w:t>
            </w:r>
          </w:p>
        </w:tc>
        <w:tc>
          <w:tcPr>
            <w:tcW w:w="2233" w:type="dxa"/>
          </w:tcPr>
          <w:p w14:paraId="290CE75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There was no difference in open employment between participants in the intervention condition compared to control condition in the initial 6-month period (7/22, 32% versus 12/41, 29%, respectively), </w:t>
            </w:r>
          </w:p>
          <w:p w14:paraId="6F12CB1D" w14:textId="77777777" w:rsidR="00BD1825" w:rsidRPr="00584BCB" w:rsidRDefault="00BD1825" w:rsidP="008A031E">
            <w:pPr>
              <w:rPr>
                <w:rFonts w:ascii="Rubik" w:hAnsi="Rubik"/>
                <w:color w:val="000000" w:themeColor="text1"/>
                <w:sz w:val="18"/>
                <w:szCs w:val="18"/>
              </w:rPr>
            </w:pPr>
          </w:p>
          <w:p w14:paraId="3F071CA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From 7 months to end of intervention at 18 months more intervention participants worked compared to controls (69% vs 33%, respectively, (Adjusted analysis, p = .02)</w:t>
            </w:r>
          </w:p>
        </w:tc>
        <w:tc>
          <w:tcPr>
            <w:tcW w:w="1532" w:type="dxa"/>
            <w:hideMark/>
          </w:tcPr>
          <w:p w14:paraId="0EE436E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 xml:space="preserve"> </w:t>
            </w:r>
          </w:p>
        </w:tc>
        <w:tc>
          <w:tcPr>
            <w:tcW w:w="1314" w:type="dxa"/>
          </w:tcPr>
          <w:p w14:paraId="6419E5E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effect for initial 6 months, Favours IPS + WFM –for the following 1-year period</w:t>
            </w:r>
          </w:p>
          <w:p w14:paraId="50967190" w14:textId="77777777" w:rsidR="00BD1825" w:rsidRPr="00584BCB" w:rsidRDefault="00BD1825" w:rsidP="008A031E">
            <w:pPr>
              <w:rPr>
                <w:rFonts w:ascii="Rubik" w:hAnsi="Rubik"/>
                <w:color w:val="000000" w:themeColor="text1"/>
                <w:sz w:val="18"/>
                <w:szCs w:val="18"/>
              </w:rPr>
            </w:pPr>
          </w:p>
        </w:tc>
      </w:tr>
      <w:tr w:rsidR="00584BCB" w:rsidRPr="00584BCB" w14:paraId="36F79F2C" w14:textId="77777777" w:rsidTr="00BC4A0B">
        <w:trPr>
          <w:cantSplit/>
        </w:trPr>
        <w:tc>
          <w:tcPr>
            <w:tcW w:w="1295" w:type="dxa"/>
            <w:hideMark/>
          </w:tcPr>
          <w:p w14:paraId="3CCFD22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Oshima 2014</w:t>
            </w:r>
          </w:p>
        </w:tc>
        <w:tc>
          <w:tcPr>
            <w:tcW w:w="1448" w:type="dxa"/>
            <w:hideMark/>
          </w:tcPr>
          <w:p w14:paraId="0BBEB6C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Good IPS vs Conventional vocational rehabilitation </w:t>
            </w:r>
          </w:p>
        </w:tc>
        <w:tc>
          <w:tcPr>
            <w:tcW w:w="1505" w:type="dxa"/>
          </w:tcPr>
          <w:p w14:paraId="2E77C7F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Skills development and work experience</w:t>
            </w:r>
          </w:p>
        </w:tc>
        <w:tc>
          <w:tcPr>
            <w:tcW w:w="1417" w:type="dxa"/>
            <w:shd w:val="clear" w:color="auto" w:fill="auto"/>
            <w:hideMark/>
          </w:tcPr>
          <w:p w14:paraId="444015D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NR</w:t>
            </w:r>
          </w:p>
        </w:tc>
        <w:tc>
          <w:tcPr>
            <w:tcW w:w="1476" w:type="dxa"/>
            <w:hideMark/>
          </w:tcPr>
          <w:p w14:paraId="6993C12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6 </w:t>
            </w:r>
          </w:p>
        </w:tc>
        <w:tc>
          <w:tcPr>
            <w:tcW w:w="3170" w:type="dxa"/>
            <w:hideMark/>
          </w:tcPr>
          <w:p w14:paraId="64652D3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defined as a job paying at least minimum wage (as established in Japanese law), with five and more work hours per week, for which anyone can apply, and not controlled by a service agency. (0-6)</w:t>
            </w:r>
          </w:p>
          <w:p w14:paraId="1885489E" w14:textId="77777777" w:rsidR="00BD1825" w:rsidRPr="00584BCB" w:rsidRDefault="00BD1825" w:rsidP="008A031E">
            <w:pPr>
              <w:rPr>
                <w:rFonts w:ascii="Rubik" w:hAnsi="Rubik"/>
                <w:color w:val="000000" w:themeColor="text1"/>
                <w:sz w:val="18"/>
                <w:szCs w:val="18"/>
              </w:rPr>
            </w:pPr>
          </w:p>
          <w:p w14:paraId="4C3F858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Supported employment (0-6)</w:t>
            </w:r>
          </w:p>
        </w:tc>
        <w:tc>
          <w:tcPr>
            <w:tcW w:w="2233" w:type="dxa"/>
          </w:tcPr>
          <w:p w14:paraId="3BF170D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Participants in the IPS condition were more likely to obtain open employment than those in the control group (44.4% versus 10.5% respectively; p = 0.022)</w:t>
            </w:r>
          </w:p>
          <w:p w14:paraId="3883C7AB" w14:textId="77777777" w:rsidR="00BD1825" w:rsidRPr="00584BCB" w:rsidRDefault="00BD1825" w:rsidP="008A031E">
            <w:pPr>
              <w:rPr>
                <w:rFonts w:ascii="Rubik" w:hAnsi="Rubik"/>
                <w:color w:val="000000" w:themeColor="text1"/>
                <w:sz w:val="18"/>
                <w:szCs w:val="18"/>
              </w:rPr>
            </w:pPr>
          </w:p>
          <w:p w14:paraId="328FCED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There was no difference in supported employment rates between IPS participants and TVR participants (2/18, 11.1% versus 0/19, 0%, respectively; p = 0.128)</w:t>
            </w:r>
          </w:p>
        </w:tc>
        <w:tc>
          <w:tcPr>
            <w:tcW w:w="1532" w:type="dxa"/>
            <w:hideMark/>
          </w:tcPr>
          <w:p w14:paraId="51FF51F8" w14:textId="77777777" w:rsidR="00BD1825" w:rsidRPr="00584BCB" w:rsidRDefault="00BD1825" w:rsidP="008A031E">
            <w:pPr>
              <w:rPr>
                <w:rFonts w:ascii="Rubik" w:hAnsi="Rubik"/>
                <w:color w:val="000000" w:themeColor="text1"/>
                <w:sz w:val="18"/>
                <w:szCs w:val="18"/>
              </w:rPr>
            </w:pPr>
          </w:p>
        </w:tc>
        <w:tc>
          <w:tcPr>
            <w:tcW w:w="1314" w:type="dxa"/>
          </w:tcPr>
          <w:p w14:paraId="4AF8699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IPS for open employment, no effect for supported employment</w:t>
            </w:r>
          </w:p>
        </w:tc>
      </w:tr>
      <w:tr w:rsidR="00584BCB" w:rsidRPr="00584BCB" w14:paraId="0EE8B1C8" w14:textId="77777777" w:rsidTr="00BC4A0B">
        <w:trPr>
          <w:cantSplit/>
        </w:trPr>
        <w:tc>
          <w:tcPr>
            <w:tcW w:w="1295" w:type="dxa"/>
            <w:hideMark/>
          </w:tcPr>
          <w:p w14:paraId="54A2223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Poremski 2017</w:t>
            </w:r>
          </w:p>
        </w:tc>
        <w:tc>
          <w:tcPr>
            <w:tcW w:w="1448" w:type="dxa"/>
            <w:hideMark/>
          </w:tcPr>
          <w:p w14:paraId="6B08746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vs. free to seek employment by any means of their choice </w:t>
            </w:r>
          </w:p>
        </w:tc>
        <w:tc>
          <w:tcPr>
            <w:tcW w:w="1505" w:type="dxa"/>
          </w:tcPr>
          <w:p w14:paraId="3E6638A8" w14:textId="77777777" w:rsidR="00BD1825" w:rsidRPr="00584BCB" w:rsidRDefault="00BD1825" w:rsidP="008A031E">
            <w:pPr>
              <w:rPr>
                <w:rFonts w:ascii="Rubik" w:hAnsi="Rubik"/>
                <w:color w:val="000000" w:themeColor="text1"/>
                <w:sz w:val="18"/>
                <w:szCs w:val="18"/>
              </w:rPr>
            </w:pPr>
          </w:p>
        </w:tc>
        <w:tc>
          <w:tcPr>
            <w:tcW w:w="1417" w:type="dxa"/>
            <w:hideMark/>
          </w:tcPr>
          <w:p w14:paraId="7298698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Entire intervention: 27</w:t>
            </w:r>
          </w:p>
          <w:p w14:paraId="5C14905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Good fidelity: 8</w:t>
            </w:r>
          </w:p>
        </w:tc>
        <w:tc>
          <w:tcPr>
            <w:tcW w:w="1476" w:type="dxa"/>
            <w:hideMark/>
          </w:tcPr>
          <w:p w14:paraId="1BF1697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27 </w:t>
            </w:r>
          </w:p>
        </w:tc>
        <w:tc>
          <w:tcPr>
            <w:tcW w:w="3170" w:type="dxa"/>
            <w:hideMark/>
          </w:tcPr>
          <w:p w14:paraId="1766CAC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Open employment (20-27, during the 8 months of good fidelity IPS) </w:t>
            </w:r>
          </w:p>
        </w:tc>
        <w:tc>
          <w:tcPr>
            <w:tcW w:w="2233" w:type="dxa"/>
          </w:tcPr>
          <w:p w14:paraId="5D7CF22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More participants in the IPS condition obtained employment than those in control condition (34% vs 22%, respectively; p = 0.16; adjusted analysis showed that participants in the IPS group had a 2.4 (p=0.02) greater </w:t>
            </w:r>
            <w:r w:rsidRPr="00584BCB">
              <w:rPr>
                <w:rFonts w:ascii="Rubik" w:hAnsi="Rubik"/>
                <w:color w:val="000000" w:themeColor="text1"/>
                <w:sz w:val="18"/>
                <w:szCs w:val="18"/>
              </w:rPr>
              <w:lastRenderedPageBreak/>
              <w:t>chance of obtaining employment.</w:t>
            </w:r>
          </w:p>
        </w:tc>
        <w:tc>
          <w:tcPr>
            <w:tcW w:w="1532" w:type="dxa"/>
            <w:hideMark/>
          </w:tcPr>
          <w:p w14:paraId="1D62AA2C" w14:textId="77777777" w:rsidR="00BD1825" w:rsidRPr="00584BCB" w:rsidRDefault="00BD1825" w:rsidP="008A031E">
            <w:pPr>
              <w:rPr>
                <w:rFonts w:ascii="Rubik" w:hAnsi="Rubik"/>
                <w:color w:val="000000" w:themeColor="text1"/>
                <w:sz w:val="18"/>
                <w:szCs w:val="18"/>
              </w:rPr>
            </w:pPr>
          </w:p>
        </w:tc>
        <w:tc>
          <w:tcPr>
            <w:tcW w:w="1314" w:type="dxa"/>
          </w:tcPr>
          <w:p w14:paraId="6D2711F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65D7C83D" w14:textId="77777777" w:rsidTr="00BC4A0B">
        <w:trPr>
          <w:cantSplit/>
        </w:trPr>
        <w:tc>
          <w:tcPr>
            <w:tcW w:w="1295" w:type="dxa"/>
            <w:hideMark/>
          </w:tcPr>
          <w:p w14:paraId="0FF90E1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Russinova 2018</w:t>
            </w:r>
          </w:p>
        </w:tc>
        <w:tc>
          <w:tcPr>
            <w:tcW w:w="1448" w:type="dxa"/>
            <w:hideMark/>
          </w:tcPr>
          <w:p w14:paraId="609F3AC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Vocational Empowerment Photovoice (high fidelity) vs Wait-list control </w:t>
            </w:r>
          </w:p>
        </w:tc>
        <w:tc>
          <w:tcPr>
            <w:tcW w:w="1505" w:type="dxa"/>
          </w:tcPr>
          <w:p w14:paraId="57A013F4" w14:textId="77777777" w:rsidR="00BD1825" w:rsidRPr="00584BCB" w:rsidRDefault="00BD1825" w:rsidP="008A031E">
            <w:pPr>
              <w:rPr>
                <w:rFonts w:ascii="Rubik" w:hAnsi="Rubik"/>
                <w:color w:val="000000" w:themeColor="text1"/>
                <w:sz w:val="18"/>
                <w:szCs w:val="18"/>
              </w:rPr>
            </w:pPr>
          </w:p>
        </w:tc>
        <w:tc>
          <w:tcPr>
            <w:tcW w:w="1417" w:type="dxa"/>
            <w:hideMark/>
          </w:tcPr>
          <w:p w14:paraId="332A620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Approx. 4.5 months</w:t>
            </w:r>
          </w:p>
        </w:tc>
        <w:tc>
          <w:tcPr>
            <w:tcW w:w="1476" w:type="dxa"/>
            <w:hideMark/>
          </w:tcPr>
          <w:p w14:paraId="7BFFF0C5" w14:textId="5B0DE0F4"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4.5 (post</w:t>
            </w:r>
            <w:r w:rsidR="00A01871" w:rsidRPr="00584BCB">
              <w:rPr>
                <w:rFonts w:ascii="Rubik" w:hAnsi="Rubik"/>
                <w:color w:val="000000" w:themeColor="text1"/>
                <w:sz w:val="18"/>
                <w:szCs w:val="18"/>
              </w:rPr>
              <w:t>-</w:t>
            </w:r>
            <w:r w:rsidRPr="00584BCB">
              <w:rPr>
                <w:rFonts w:ascii="Rubik" w:hAnsi="Rubik"/>
                <w:color w:val="000000" w:themeColor="text1"/>
                <w:sz w:val="18"/>
                <w:szCs w:val="18"/>
              </w:rPr>
              <w:t>intervention), 7.5 (3 months post-intervention)</w:t>
            </w:r>
          </w:p>
        </w:tc>
        <w:tc>
          <w:tcPr>
            <w:tcW w:w="3170" w:type="dxa"/>
            <w:shd w:val="clear" w:color="auto" w:fill="auto"/>
            <w:hideMark/>
          </w:tcPr>
          <w:p w14:paraId="24C4BF4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having at least one day on the job (point prevalence of competitive employment at postintervention and 3 months postintervention)</w:t>
            </w:r>
          </w:p>
        </w:tc>
        <w:tc>
          <w:tcPr>
            <w:tcW w:w="2233" w:type="dxa"/>
          </w:tcPr>
          <w:p w14:paraId="2AEB27F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There was no difference in open employment between participants in intervention condition and waitlist controls at postintervention (14% vs 4% respectively; Cohen’s d = .75).</w:t>
            </w:r>
          </w:p>
        </w:tc>
        <w:tc>
          <w:tcPr>
            <w:tcW w:w="1532" w:type="dxa"/>
            <w:hideMark/>
          </w:tcPr>
          <w:p w14:paraId="1A68FD6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Participants in the intervention condition had a s greater increase in overall empowerment compared to waitlist controls, including self-efficacy (overall empowerment: Group effects: F = 6.65, p = 0.01e, Effect size (Cohen's d) = 0.39) </w:t>
            </w:r>
          </w:p>
          <w:p w14:paraId="48CE4DF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(self-efficacy subscale: Group effects: F = 6.08, p = 0.02, Cohen's d= 0.30).</w:t>
            </w:r>
          </w:p>
        </w:tc>
        <w:tc>
          <w:tcPr>
            <w:tcW w:w="1314" w:type="dxa"/>
          </w:tcPr>
          <w:p w14:paraId="2D926FC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effect</w:t>
            </w:r>
          </w:p>
        </w:tc>
      </w:tr>
      <w:tr w:rsidR="00584BCB" w:rsidRPr="00584BCB" w14:paraId="060F12CD" w14:textId="77777777" w:rsidTr="00BC4A0B">
        <w:trPr>
          <w:cantSplit/>
        </w:trPr>
        <w:tc>
          <w:tcPr>
            <w:tcW w:w="1295" w:type="dxa"/>
            <w:hideMark/>
          </w:tcPr>
          <w:p w14:paraId="2229B1EA"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Schneider 2016</w:t>
            </w:r>
          </w:p>
        </w:tc>
        <w:tc>
          <w:tcPr>
            <w:tcW w:w="1448" w:type="dxa"/>
            <w:hideMark/>
          </w:tcPr>
          <w:p w14:paraId="349B2B1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IPS plus work-focused counselling intervention vs. IPS only. </w:t>
            </w:r>
          </w:p>
        </w:tc>
        <w:tc>
          <w:tcPr>
            <w:tcW w:w="1505" w:type="dxa"/>
          </w:tcPr>
          <w:p w14:paraId="3FD1A77D" w14:textId="77777777" w:rsidR="00BD1825" w:rsidRPr="00584BCB" w:rsidRDefault="00BD1825" w:rsidP="008A031E">
            <w:pPr>
              <w:rPr>
                <w:rFonts w:ascii="Rubik" w:hAnsi="Rubik"/>
                <w:color w:val="000000" w:themeColor="text1"/>
                <w:sz w:val="18"/>
                <w:szCs w:val="18"/>
              </w:rPr>
            </w:pPr>
          </w:p>
        </w:tc>
        <w:tc>
          <w:tcPr>
            <w:tcW w:w="1417" w:type="dxa"/>
            <w:hideMark/>
          </w:tcPr>
          <w:p w14:paraId="691349D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2404985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5F56312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(0-12)</w:t>
            </w:r>
          </w:p>
        </w:tc>
        <w:tc>
          <w:tcPr>
            <w:tcW w:w="2233" w:type="dxa"/>
          </w:tcPr>
          <w:p w14:paraId="08A796CF"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There was no difference in employment between groups (intervention 41% vs control 29%; x2 = 0.73, P = 0.39)</w:t>
            </w:r>
          </w:p>
        </w:tc>
        <w:tc>
          <w:tcPr>
            <w:tcW w:w="1532" w:type="dxa"/>
            <w:hideMark/>
          </w:tcPr>
          <w:p w14:paraId="2051322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 difference in the Rosenberg Self Esteem questionnaire at 12-month follow-up.</w:t>
            </w:r>
          </w:p>
          <w:p w14:paraId="65FEE447" w14:textId="77777777" w:rsidR="00BD1825" w:rsidRPr="00584BCB" w:rsidRDefault="00BD1825" w:rsidP="008A031E">
            <w:pPr>
              <w:rPr>
                <w:rFonts w:ascii="Rubik" w:hAnsi="Rubik"/>
                <w:color w:val="000000" w:themeColor="text1"/>
                <w:sz w:val="18"/>
                <w:szCs w:val="18"/>
              </w:rPr>
            </w:pPr>
          </w:p>
          <w:p w14:paraId="7E88624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There was no strong evidence for cost-effectiveness</w:t>
            </w:r>
          </w:p>
        </w:tc>
        <w:tc>
          <w:tcPr>
            <w:tcW w:w="1314" w:type="dxa"/>
          </w:tcPr>
          <w:p w14:paraId="512EA8D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lastRenderedPageBreak/>
              <w:t>No effect</w:t>
            </w:r>
          </w:p>
        </w:tc>
      </w:tr>
      <w:tr w:rsidR="00584BCB" w:rsidRPr="00584BCB" w14:paraId="3F2197AD" w14:textId="77777777" w:rsidTr="00BC4A0B">
        <w:trPr>
          <w:cantSplit/>
        </w:trPr>
        <w:tc>
          <w:tcPr>
            <w:tcW w:w="1295" w:type="dxa"/>
          </w:tcPr>
          <w:p w14:paraId="0B50F0C8"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Smith 2015a </w:t>
            </w:r>
          </w:p>
        </w:tc>
        <w:tc>
          <w:tcPr>
            <w:tcW w:w="1448" w:type="dxa"/>
          </w:tcPr>
          <w:p w14:paraId="3B31E5E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Virtual reality job interview training (VR-JIT) vs TAU waitlist control</w:t>
            </w:r>
          </w:p>
        </w:tc>
        <w:tc>
          <w:tcPr>
            <w:tcW w:w="1505" w:type="dxa"/>
          </w:tcPr>
          <w:p w14:paraId="044C853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Skills development</w:t>
            </w:r>
          </w:p>
        </w:tc>
        <w:tc>
          <w:tcPr>
            <w:tcW w:w="1417" w:type="dxa"/>
          </w:tcPr>
          <w:p w14:paraId="069F435C"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5-10 business days</w:t>
            </w:r>
          </w:p>
        </w:tc>
        <w:tc>
          <w:tcPr>
            <w:tcW w:w="1476" w:type="dxa"/>
          </w:tcPr>
          <w:p w14:paraId="26E7D2A0"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6 months postintervention</w:t>
            </w:r>
          </w:p>
        </w:tc>
        <w:tc>
          <w:tcPr>
            <w:tcW w:w="3170" w:type="dxa"/>
          </w:tcPr>
          <w:p w14:paraId="2688126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(accepted job offers during 0-6 months postintervention)</w:t>
            </w:r>
          </w:p>
        </w:tc>
        <w:tc>
          <w:tcPr>
            <w:tcW w:w="2233" w:type="dxa"/>
          </w:tcPr>
          <w:p w14:paraId="4D37B251"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participants in the virtual reality group accepted job offers compared to control participants. (38.5% vs 25.0%, no statistical analysis)</w:t>
            </w:r>
          </w:p>
        </w:tc>
        <w:tc>
          <w:tcPr>
            <w:tcW w:w="1532" w:type="dxa"/>
          </w:tcPr>
          <w:p w14:paraId="6CC0BBA5"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None</w:t>
            </w:r>
          </w:p>
        </w:tc>
        <w:tc>
          <w:tcPr>
            <w:tcW w:w="1314" w:type="dxa"/>
          </w:tcPr>
          <w:p w14:paraId="38EB8A3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Potentially favours VR-JIT (no statistical analysis)</w:t>
            </w:r>
          </w:p>
        </w:tc>
      </w:tr>
      <w:tr w:rsidR="00584BCB" w:rsidRPr="00584BCB" w14:paraId="1B993996" w14:textId="77777777" w:rsidTr="00BC4A0B">
        <w:trPr>
          <w:cantSplit/>
        </w:trPr>
        <w:tc>
          <w:tcPr>
            <w:tcW w:w="1295" w:type="dxa"/>
          </w:tcPr>
          <w:p w14:paraId="06C496D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Smith 2015b </w:t>
            </w:r>
          </w:p>
        </w:tc>
        <w:tc>
          <w:tcPr>
            <w:tcW w:w="1448" w:type="dxa"/>
          </w:tcPr>
          <w:p w14:paraId="3EDAE15D"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Virtual reality job interview training vs. Waitlist control</w:t>
            </w:r>
          </w:p>
        </w:tc>
        <w:tc>
          <w:tcPr>
            <w:tcW w:w="1505" w:type="dxa"/>
          </w:tcPr>
          <w:p w14:paraId="6E0475EA" w14:textId="77777777" w:rsidR="00BD1825" w:rsidRPr="00584BCB" w:rsidRDefault="00BD1825" w:rsidP="008A031E">
            <w:pPr>
              <w:rPr>
                <w:rFonts w:ascii="Rubik" w:hAnsi="Rubik"/>
                <w:color w:val="000000" w:themeColor="text1"/>
                <w:sz w:val="18"/>
                <w:szCs w:val="18"/>
              </w:rPr>
            </w:pPr>
          </w:p>
        </w:tc>
        <w:tc>
          <w:tcPr>
            <w:tcW w:w="1417" w:type="dxa"/>
          </w:tcPr>
          <w:p w14:paraId="3C2C76A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2 weeks</w:t>
            </w:r>
          </w:p>
        </w:tc>
        <w:tc>
          <w:tcPr>
            <w:tcW w:w="1476" w:type="dxa"/>
          </w:tcPr>
          <w:p w14:paraId="10D022F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6 months postintervention</w:t>
            </w:r>
          </w:p>
        </w:tc>
        <w:tc>
          <w:tcPr>
            <w:tcW w:w="3170" w:type="dxa"/>
          </w:tcPr>
          <w:p w14:paraId="1BD9DF62"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(accepted job offers during 0 - 6 months postintervention)</w:t>
            </w:r>
          </w:p>
        </w:tc>
        <w:tc>
          <w:tcPr>
            <w:tcW w:w="2233" w:type="dxa"/>
          </w:tcPr>
          <w:p w14:paraId="105B65E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More participants in the virtual reality job interview training group accepted job offers compared with control participants. (39.1% vs 14.3%, no statistical analysis)</w:t>
            </w:r>
          </w:p>
        </w:tc>
        <w:tc>
          <w:tcPr>
            <w:tcW w:w="1532" w:type="dxa"/>
          </w:tcPr>
          <w:p w14:paraId="1D621F33"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None</w:t>
            </w:r>
          </w:p>
        </w:tc>
        <w:tc>
          <w:tcPr>
            <w:tcW w:w="1314" w:type="dxa"/>
          </w:tcPr>
          <w:p w14:paraId="5853A2CB"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Potentially favours VR-JIT (no statistical analysis)</w:t>
            </w:r>
          </w:p>
        </w:tc>
      </w:tr>
      <w:tr w:rsidR="00584BCB" w:rsidRPr="00584BCB" w14:paraId="2B43E831" w14:textId="77777777" w:rsidTr="00BC4A0B">
        <w:trPr>
          <w:cantSplit/>
        </w:trPr>
        <w:tc>
          <w:tcPr>
            <w:tcW w:w="1295" w:type="dxa"/>
            <w:hideMark/>
          </w:tcPr>
          <w:p w14:paraId="6043024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Tsang 2010</w:t>
            </w:r>
          </w:p>
        </w:tc>
        <w:tc>
          <w:tcPr>
            <w:tcW w:w="1448" w:type="dxa"/>
            <w:hideMark/>
          </w:tcPr>
          <w:p w14:paraId="05BB9FB6" w14:textId="58A92D5E"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Integrated Supported Employment (ISE): IPS and work-related social skills training vs. IPS vs. Traditional vocational </w:t>
            </w:r>
            <w:r w:rsidR="005B1703" w:rsidRPr="00584BCB">
              <w:rPr>
                <w:rFonts w:ascii="Rubik" w:hAnsi="Rubik"/>
                <w:color w:val="000000" w:themeColor="text1"/>
                <w:sz w:val="18"/>
                <w:szCs w:val="18"/>
              </w:rPr>
              <w:t>rehabilitation (</w:t>
            </w:r>
            <w:r w:rsidR="00A01871" w:rsidRPr="00584BCB">
              <w:rPr>
                <w:rFonts w:ascii="Rubik" w:hAnsi="Rubik"/>
                <w:color w:val="000000" w:themeColor="text1"/>
                <w:sz w:val="16"/>
                <w:szCs w:val="16"/>
              </w:rPr>
              <w:t>TVR) (</w:t>
            </w:r>
            <w:r w:rsidRPr="00584BCB">
              <w:rPr>
                <w:rFonts w:ascii="Rubik" w:hAnsi="Rubik"/>
                <w:color w:val="000000" w:themeColor="text1"/>
                <w:sz w:val="18"/>
                <w:szCs w:val="18"/>
              </w:rPr>
              <w:t>good fidelity)</w:t>
            </w:r>
          </w:p>
        </w:tc>
        <w:tc>
          <w:tcPr>
            <w:tcW w:w="1505" w:type="dxa"/>
          </w:tcPr>
          <w:p w14:paraId="09EABFE5" w14:textId="7661AC64"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Skills development vs. career guidance and skills development / work experience </w:t>
            </w:r>
          </w:p>
        </w:tc>
        <w:tc>
          <w:tcPr>
            <w:tcW w:w="1417" w:type="dxa"/>
            <w:hideMark/>
          </w:tcPr>
          <w:p w14:paraId="0DD05F34"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TVR: 15 </w:t>
            </w:r>
          </w:p>
          <w:p w14:paraId="0DE10B69"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ISE, IPS: 39 </w:t>
            </w:r>
          </w:p>
        </w:tc>
        <w:tc>
          <w:tcPr>
            <w:tcW w:w="1476" w:type="dxa"/>
            <w:hideMark/>
          </w:tcPr>
          <w:p w14:paraId="0D7F737E"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 xml:space="preserve">15, 39 </w:t>
            </w:r>
          </w:p>
        </w:tc>
        <w:tc>
          <w:tcPr>
            <w:tcW w:w="3170" w:type="dxa"/>
            <w:hideMark/>
          </w:tcPr>
          <w:p w14:paraId="6D7E7306"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Open employment (competitive employment, continuously worked in the job for &gt;=2 months for at least 20 h per week) (0-15, 0-39)</w:t>
            </w:r>
          </w:p>
        </w:tc>
        <w:tc>
          <w:tcPr>
            <w:tcW w:w="2233" w:type="dxa"/>
          </w:tcPr>
          <w:p w14:paraId="270FAD9C" w14:textId="32CDCBE9"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There were significant differences between the three groups at 15 month follow up (end of TVR) (TVR 4/66 6.1% v. IPS 29/65 44.6</w:t>
            </w:r>
            <w:r w:rsidR="00A01871" w:rsidRPr="00584BCB">
              <w:rPr>
                <w:rFonts w:ascii="Rubik" w:hAnsi="Rubik"/>
                <w:color w:val="000000" w:themeColor="text1"/>
                <w:sz w:val="18"/>
                <w:szCs w:val="18"/>
              </w:rPr>
              <w:t>% v.</w:t>
            </w:r>
            <w:r w:rsidRPr="00584BCB">
              <w:rPr>
                <w:rFonts w:ascii="Rubik" w:hAnsi="Rubik"/>
                <w:color w:val="000000" w:themeColor="text1"/>
                <w:sz w:val="18"/>
                <w:szCs w:val="18"/>
              </w:rPr>
              <w:t xml:space="preserve"> Integrated Supported Employment 43/58 74.1%, p &lt; 0.001, </w:t>
            </w:r>
          </w:p>
          <w:p w14:paraId="251C063C" w14:textId="77777777" w:rsidR="00BD1825" w:rsidRPr="00584BCB" w:rsidRDefault="00BD1825" w:rsidP="008A031E">
            <w:pPr>
              <w:rPr>
                <w:rFonts w:ascii="Rubik" w:hAnsi="Rubik"/>
                <w:color w:val="000000" w:themeColor="text1"/>
                <w:sz w:val="16"/>
                <w:szCs w:val="16"/>
              </w:rPr>
            </w:pPr>
            <w:r w:rsidRPr="00584BCB">
              <w:rPr>
                <w:rFonts w:ascii="Rubik" w:hAnsi="Rubik"/>
                <w:color w:val="000000" w:themeColor="text1"/>
                <w:sz w:val="16"/>
                <w:szCs w:val="16"/>
              </w:rPr>
              <w:t>More participants in the ISE condition worked compared to the IPS condition at 39 months (ISE 48/58 82.8% v. IPS 40/65 61.5%, p = 0.009)</w:t>
            </w:r>
          </w:p>
        </w:tc>
        <w:tc>
          <w:tcPr>
            <w:tcW w:w="1532" w:type="dxa"/>
            <w:hideMark/>
          </w:tcPr>
          <w:p w14:paraId="3F27F2E7" w14:textId="77777777" w:rsidR="00BD1825" w:rsidRPr="00584BCB" w:rsidRDefault="00BD1825" w:rsidP="008A031E">
            <w:pPr>
              <w:rPr>
                <w:rFonts w:ascii="Rubik" w:hAnsi="Rubik"/>
                <w:color w:val="000000" w:themeColor="text1"/>
                <w:sz w:val="18"/>
                <w:szCs w:val="18"/>
              </w:rPr>
            </w:pPr>
          </w:p>
        </w:tc>
        <w:tc>
          <w:tcPr>
            <w:tcW w:w="1314" w:type="dxa"/>
          </w:tcPr>
          <w:p w14:paraId="7A9E7037" w14:textId="77777777" w:rsidR="00BD1825" w:rsidRPr="00584BCB" w:rsidRDefault="00BD1825" w:rsidP="008A031E">
            <w:pPr>
              <w:rPr>
                <w:rFonts w:ascii="Rubik" w:hAnsi="Rubik"/>
                <w:color w:val="000000" w:themeColor="text1"/>
                <w:sz w:val="18"/>
                <w:szCs w:val="18"/>
              </w:rPr>
            </w:pPr>
            <w:r w:rsidRPr="00584BCB">
              <w:rPr>
                <w:rFonts w:ascii="Rubik" w:hAnsi="Rubik"/>
                <w:color w:val="000000" w:themeColor="text1"/>
                <w:sz w:val="18"/>
                <w:szCs w:val="18"/>
              </w:rPr>
              <w:t>Favours ISE over IPS at both timepoints and IPS and ISE over TVR at the first timepoint</w:t>
            </w:r>
          </w:p>
        </w:tc>
      </w:tr>
      <w:tr w:rsidR="00584BCB" w:rsidRPr="00584BCB" w14:paraId="65FEF321" w14:textId="77777777" w:rsidTr="00BC4A0B">
        <w:trPr>
          <w:cantSplit/>
        </w:trPr>
        <w:tc>
          <w:tcPr>
            <w:tcW w:w="1295" w:type="dxa"/>
            <w:hideMark/>
          </w:tcPr>
          <w:p w14:paraId="42F37BE2"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lastRenderedPageBreak/>
              <w:t>Twamley 2012</w:t>
            </w:r>
          </w:p>
        </w:tc>
        <w:tc>
          <w:tcPr>
            <w:tcW w:w="1448" w:type="dxa"/>
            <w:hideMark/>
          </w:tcPr>
          <w:p w14:paraId="11E470FC"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IPS (Fair to good fidelity) vs. Conventional vocational rehabilitation </w:t>
            </w:r>
          </w:p>
        </w:tc>
        <w:tc>
          <w:tcPr>
            <w:tcW w:w="1505" w:type="dxa"/>
          </w:tcPr>
          <w:p w14:paraId="03CF2BE6"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SE vs career guidance and skills development</w:t>
            </w:r>
          </w:p>
        </w:tc>
        <w:tc>
          <w:tcPr>
            <w:tcW w:w="1417" w:type="dxa"/>
            <w:hideMark/>
          </w:tcPr>
          <w:p w14:paraId="3DD3BA72"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7EA48179"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08080BE7"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Open employment defined as employment paying at least minimum wage and not reserved for the disabled. "We only considered someone employed if they worked for any part of a day."</w:t>
            </w:r>
            <w:r w:rsidRPr="00584BCB" w:rsidDel="009D00E3">
              <w:rPr>
                <w:rFonts w:ascii="Rubik" w:hAnsi="Rubik"/>
                <w:color w:val="000000" w:themeColor="text1"/>
                <w:sz w:val="18"/>
                <w:szCs w:val="18"/>
              </w:rPr>
              <w:t xml:space="preserve"> </w:t>
            </w:r>
            <w:r w:rsidRPr="00584BCB">
              <w:rPr>
                <w:rFonts w:ascii="Rubik" w:hAnsi="Rubik"/>
                <w:color w:val="000000" w:themeColor="text1"/>
                <w:sz w:val="18"/>
                <w:szCs w:val="18"/>
              </w:rPr>
              <w:t>(0-12 months);</w:t>
            </w:r>
          </w:p>
          <w:p w14:paraId="37BD43A8" w14:textId="77777777" w:rsidR="0019346E" w:rsidRPr="00584BCB" w:rsidRDefault="0019346E" w:rsidP="008A031E">
            <w:pPr>
              <w:rPr>
                <w:rFonts w:ascii="Rubik" w:hAnsi="Rubik"/>
                <w:color w:val="000000" w:themeColor="text1"/>
                <w:sz w:val="18"/>
                <w:szCs w:val="18"/>
              </w:rPr>
            </w:pPr>
          </w:p>
          <w:p w14:paraId="72D95A59"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Any paid employment (0-12) </w:t>
            </w:r>
          </w:p>
        </w:tc>
        <w:tc>
          <w:tcPr>
            <w:tcW w:w="2233" w:type="dxa"/>
          </w:tcPr>
          <w:p w14:paraId="176BEBC4"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More IPS participants were in open employment than those in TVR during the 12-month study (56.7% versus 28.6% respectively; p = .031)</w:t>
            </w:r>
          </w:p>
          <w:p w14:paraId="2240732E" w14:textId="77777777" w:rsidR="0019346E" w:rsidRPr="00584BCB" w:rsidRDefault="0019346E" w:rsidP="008A031E">
            <w:pPr>
              <w:rPr>
                <w:rFonts w:ascii="Rubik" w:hAnsi="Rubik"/>
                <w:color w:val="000000" w:themeColor="text1"/>
                <w:sz w:val="18"/>
                <w:szCs w:val="18"/>
              </w:rPr>
            </w:pPr>
          </w:p>
          <w:p w14:paraId="1D8F6F4C"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More IPS participants obtained paid employment than TVR participants (70.0% versus 35.7%, respectively; p = .009)</w:t>
            </w:r>
          </w:p>
        </w:tc>
        <w:tc>
          <w:tcPr>
            <w:tcW w:w="1532" w:type="dxa"/>
            <w:hideMark/>
          </w:tcPr>
          <w:p w14:paraId="22AD8A4E" w14:textId="77777777" w:rsidR="0019346E" w:rsidRPr="00584BCB" w:rsidRDefault="0019346E" w:rsidP="008A031E">
            <w:pPr>
              <w:rPr>
                <w:rFonts w:ascii="Rubik" w:hAnsi="Rubik"/>
                <w:color w:val="000000" w:themeColor="text1"/>
                <w:sz w:val="18"/>
                <w:szCs w:val="18"/>
              </w:rPr>
            </w:pPr>
          </w:p>
        </w:tc>
        <w:tc>
          <w:tcPr>
            <w:tcW w:w="1314" w:type="dxa"/>
          </w:tcPr>
          <w:p w14:paraId="769FA80D"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6885A883" w14:textId="77777777" w:rsidTr="00BC4A0B">
        <w:trPr>
          <w:cantSplit/>
        </w:trPr>
        <w:tc>
          <w:tcPr>
            <w:tcW w:w="1295" w:type="dxa"/>
            <w:hideMark/>
          </w:tcPr>
          <w:p w14:paraId="00C2354C"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Waghorn 2014</w:t>
            </w:r>
          </w:p>
        </w:tc>
        <w:tc>
          <w:tcPr>
            <w:tcW w:w="1448" w:type="dxa"/>
            <w:hideMark/>
          </w:tcPr>
          <w:p w14:paraId="35836533"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IPS vs Non-integrated forms of vocational programs </w:t>
            </w:r>
          </w:p>
        </w:tc>
        <w:tc>
          <w:tcPr>
            <w:tcW w:w="1505" w:type="dxa"/>
          </w:tcPr>
          <w:p w14:paraId="0CCE1F09" w14:textId="77777777" w:rsidR="0019346E" w:rsidRPr="00584BCB" w:rsidRDefault="0019346E" w:rsidP="008A031E">
            <w:pPr>
              <w:rPr>
                <w:rFonts w:ascii="Rubik" w:hAnsi="Rubik"/>
                <w:color w:val="000000" w:themeColor="text1"/>
                <w:sz w:val="18"/>
                <w:szCs w:val="18"/>
              </w:rPr>
            </w:pPr>
          </w:p>
        </w:tc>
        <w:tc>
          <w:tcPr>
            <w:tcW w:w="1417" w:type="dxa"/>
            <w:hideMark/>
          </w:tcPr>
          <w:p w14:paraId="5A89627A"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1476" w:type="dxa"/>
            <w:hideMark/>
          </w:tcPr>
          <w:p w14:paraId="6393C3BA"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36C89581"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Open employment (0-12)</w:t>
            </w:r>
          </w:p>
        </w:tc>
        <w:tc>
          <w:tcPr>
            <w:tcW w:w="2233" w:type="dxa"/>
          </w:tcPr>
          <w:p w14:paraId="481C5506"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More participants in the IPS condition obtained open employment than control participants (42.5% versus 23.5% respectively; OR (95% CI) = 2.40 (1.32, 4.36), p&lt;0.01).</w:t>
            </w:r>
          </w:p>
        </w:tc>
        <w:tc>
          <w:tcPr>
            <w:tcW w:w="1532" w:type="dxa"/>
            <w:hideMark/>
          </w:tcPr>
          <w:p w14:paraId="01F694E2" w14:textId="77777777" w:rsidR="0019346E" w:rsidRPr="00584BCB" w:rsidRDefault="0019346E" w:rsidP="008A031E">
            <w:pPr>
              <w:rPr>
                <w:rFonts w:ascii="Rubik" w:hAnsi="Rubik"/>
                <w:color w:val="000000" w:themeColor="text1"/>
                <w:sz w:val="18"/>
                <w:szCs w:val="18"/>
              </w:rPr>
            </w:pPr>
          </w:p>
        </w:tc>
        <w:tc>
          <w:tcPr>
            <w:tcW w:w="1314" w:type="dxa"/>
          </w:tcPr>
          <w:p w14:paraId="6BBA6370"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Favours IPS</w:t>
            </w:r>
          </w:p>
        </w:tc>
      </w:tr>
      <w:tr w:rsidR="00584BCB" w:rsidRPr="00584BCB" w14:paraId="6D738491" w14:textId="77777777" w:rsidTr="00BC4A0B">
        <w:trPr>
          <w:cantSplit/>
          <w:trHeight w:val="3305"/>
        </w:trPr>
        <w:tc>
          <w:tcPr>
            <w:tcW w:w="1295" w:type="dxa"/>
            <w:hideMark/>
          </w:tcPr>
          <w:p w14:paraId="6A9E9EDA"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Yamaguchi 2017</w:t>
            </w:r>
          </w:p>
        </w:tc>
        <w:tc>
          <w:tcPr>
            <w:tcW w:w="1448" w:type="dxa"/>
            <w:shd w:val="clear" w:color="auto" w:fill="auto"/>
            <w:hideMark/>
          </w:tcPr>
          <w:p w14:paraId="6240F54C"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Cognitive remediation and vocational program vs. traditional vocational services</w:t>
            </w:r>
          </w:p>
        </w:tc>
        <w:tc>
          <w:tcPr>
            <w:tcW w:w="1505" w:type="dxa"/>
            <w:shd w:val="clear" w:color="auto" w:fill="auto"/>
          </w:tcPr>
          <w:p w14:paraId="710F5839"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Skills development + vs TVR</w:t>
            </w:r>
          </w:p>
        </w:tc>
        <w:tc>
          <w:tcPr>
            <w:tcW w:w="1417" w:type="dxa"/>
            <w:hideMark/>
          </w:tcPr>
          <w:p w14:paraId="74B866F5"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NR, no response from authors</w:t>
            </w:r>
          </w:p>
        </w:tc>
        <w:tc>
          <w:tcPr>
            <w:tcW w:w="1476" w:type="dxa"/>
            <w:hideMark/>
          </w:tcPr>
          <w:p w14:paraId="6152C6B4"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12 </w:t>
            </w:r>
          </w:p>
        </w:tc>
        <w:tc>
          <w:tcPr>
            <w:tcW w:w="3170" w:type="dxa"/>
            <w:hideMark/>
          </w:tcPr>
          <w:p w14:paraId="3F9DD16A"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Open employment: number of people who worked at least 1 day in competitive work at 12 months follow-up</w:t>
            </w:r>
          </w:p>
        </w:tc>
        <w:tc>
          <w:tcPr>
            <w:tcW w:w="2233" w:type="dxa"/>
          </w:tcPr>
          <w:p w14:paraId="2477AA2C"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More participants in the cognitive remediation and vocational program were in work compared to those in the traditional vocational services condition (62.2% versus 19.1% respectively, p &lt; 0.001; adj OR = 11.06 (95% CI 3.53–34.62.</w:t>
            </w:r>
          </w:p>
        </w:tc>
        <w:tc>
          <w:tcPr>
            <w:tcW w:w="1532" w:type="dxa"/>
            <w:hideMark/>
          </w:tcPr>
          <w:p w14:paraId="1DC82B95"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t xml:space="preserve">There was no difference in mean total costs between the groups, however, the mean cost for medical services in the intervention group was lower. Further, the intervention </w:t>
            </w:r>
            <w:r w:rsidRPr="00584BCB">
              <w:rPr>
                <w:rFonts w:ascii="Rubik" w:hAnsi="Rubik"/>
                <w:color w:val="000000" w:themeColor="text1"/>
                <w:sz w:val="18"/>
                <w:szCs w:val="18"/>
              </w:rPr>
              <w:lastRenderedPageBreak/>
              <w:t>showed high probability for cost-effectiveness in terms of vocational outcomes.</w:t>
            </w:r>
          </w:p>
        </w:tc>
        <w:tc>
          <w:tcPr>
            <w:tcW w:w="1314" w:type="dxa"/>
          </w:tcPr>
          <w:p w14:paraId="233CC58D" w14:textId="77777777" w:rsidR="0019346E" w:rsidRPr="00584BCB" w:rsidRDefault="0019346E" w:rsidP="008A031E">
            <w:pPr>
              <w:rPr>
                <w:rFonts w:ascii="Rubik" w:hAnsi="Rubik"/>
                <w:color w:val="000000" w:themeColor="text1"/>
                <w:sz w:val="18"/>
                <w:szCs w:val="18"/>
              </w:rPr>
            </w:pPr>
            <w:r w:rsidRPr="00584BCB">
              <w:rPr>
                <w:rFonts w:ascii="Rubik" w:hAnsi="Rubik"/>
                <w:color w:val="000000" w:themeColor="text1"/>
                <w:sz w:val="18"/>
                <w:szCs w:val="18"/>
              </w:rPr>
              <w:lastRenderedPageBreak/>
              <w:t>Favours cognitive remediation</w:t>
            </w:r>
          </w:p>
        </w:tc>
      </w:tr>
    </w:tbl>
    <w:p w14:paraId="06FABEF2" w14:textId="04BF0B2C" w:rsidR="00B172F5" w:rsidRPr="00584BCB" w:rsidRDefault="005B1703" w:rsidP="72822302">
      <w:pPr>
        <w:pStyle w:val="Caption"/>
        <w:rPr>
          <w:rFonts w:ascii="Rubik" w:hAnsi="Rubik"/>
          <w:b w:val="0"/>
          <w:color w:val="000000" w:themeColor="text1"/>
          <w:sz w:val="20"/>
          <w:szCs w:val="20"/>
        </w:rPr>
        <w:sectPr w:rsidR="00B172F5" w:rsidRPr="00584BCB" w:rsidSect="00035C17">
          <w:headerReference w:type="default" r:id="rId19"/>
          <w:type w:val="continuous"/>
          <w:pgSz w:w="16840" w:h="11900" w:orient="landscape"/>
          <w:pgMar w:top="720" w:right="720" w:bottom="720" w:left="720" w:header="720" w:footer="720" w:gutter="0"/>
          <w:cols w:space="720"/>
          <w:titlePg/>
          <w:docGrid w:linePitch="299"/>
        </w:sectPr>
      </w:pPr>
      <w:r w:rsidRPr="00584BCB">
        <w:rPr>
          <w:rFonts w:ascii="Rubik" w:hAnsi="Rubik"/>
          <w:b w:val="0"/>
          <w:color w:val="000000" w:themeColor="text1"/>
          <w:sz w:val="20"/>
          <w:szCs w:val="20"/>
        </w:rPr>
        <w:t xml:space="preserve">Key: </w:t>
      </w:r>
      <w:r w:rsidR="00D965C0" w:rsidRPr="00584BCB">
        <w:rPr>
          <w:rFonts w:ascii="Rubik" w:hAnsi="Rubik"/>
          <w:b w:val="0"/>
          <w:color w:val="000000" w:themeColor="text1"/>
          <w:sz w:val="20"/>
          <w:szCs w:val="20"/>
        </w:rPr>
        <w:t>NR= not reported,</w:t>
      </w:r>
      <w:r w:rsidR="00D965C0" w:rsidRPr="00584BCB">
        <w:rPr>
          <w:rFonts w:ascii="Rubik" w:hAnsi="Rubik"/>
          <w:bCs/>
          <w:color w:val="000000" w:themeColor="text1"/>
          <w:sz w:val="20"/>
          <w:szCs w:val="20"/>
        </w:rPr>
        <w:t xml:space="preserve"> </w:t>
      </w:r>
      <w:r w:rsidR="00D965C0" w:rsidRPr="00584BCB">
        <w:rPr>
          <w:rFonts w:ascii="Rubik" w:hAnsi="Rubik"/>
          <w:b w:val="0"/>
          <w:color w:val="000000" w:themeColor="text1"/>
          <w:sz w:val="20"/>
          <w:szCs w:val="20"/>
        </w:rPr>
        <w:t xml:space="preserve">IPS=Individual placement and support. TVR= traditional vocational rehabilitation, SE=supported </w:t>
      </w:r>
      <w:r w:rsidR="00720C3E" w:rsidRPr="00584BCB">
        <w:rPr>
          <w:rFonts w:ascii="Rubik" w:hAnsi="Rubik"/>
          <w:b w:val="0"/>
          <w:color w:val="000000" w:themeColor="text1"/>
          <w:sz w:val="20"/>
          <w:szCs w:val="20"/>
        </w:rPr>
        <w:t>employment,</w:t>
      </w:r>
      <w:r w:rsidR="001D2B63" w:rsidRPr="00584BCB">
        <w:rPr>
          <w:rFonts w:ascii="Rubik" w:hAnsi="Rubik"/>
          <w:b w:val="0"/>
          <w:color w:val="000000" w:themeColor="text1"/>
          <w:sz w:val="20"/>
          <w:szCs w:val="20"/>
        </w:rPr>
        <w:t xml:space="preserve"> OR=odds ratio, CI=confidence interval, </w:t>
      </w:r>
      <w:r w:rsidR="00342595" w:rsidRPr="00584BCB">
        <w:rPr>
          <w:rFonts w:ascii="Rubik" w:hAnsi="Rubik"/>
          <w:b w:val="0"/>
          <w:color w:val="000000" w:themeColor="text1"/>
          <w:sz w:val="20"/>
          <w:szCs w:val="20"/>
        </w:rPr>
        <w:t xml:space="preserve"> ISE=</w:t>
      </w:r>
      <w:r w:rsidR="00342595" w:rsidRPr="00584BCB">
        <w:rPr>
          <w:color w:val="000000" w:themeColor="text1"/>
        </w:rPr>
        <w:t xml:space="preserve"> </w:t>
      </w:r>
      <w:r w:rsidR="00342595" w:rsidRPr="00584BCB">
        <w:rPr>
          <w:rFonts w:ascii="Rubik" w:hAnsi="Rubik"/>
          <w:b w:val="0"/>
          <w:color w:val="000000" w:themeColor="text1"/>
          <w:sz w:val="20"/>
          <w:szCs w:val="20"/>
        </w:rPr>
        <w:t>Integrated Supported Employment</w:t>
      </w:r>
      <w:r w:rsidR="00BC58BB" w:rsidRPr="00584BCB">
        <w:rPr>
          <w:rFonts w:ascii="Rubik" w:hAnsi="Rubik"/>
          <w:b w:val="0"/>
          <w:color w:val="000000" w:themeColor="text1"/>
          <w:sz w:val="20"/>
          <w:szCs w:val="20"/>
        </w:rPr>
        <w:t>, SE= supported employment</w:t>
      </w:r>
    </w:p>
    <w:p w14:paraId="06768B04" w14:textId="52CE7E6C" w:rsidR="00BD1825" w:rsidRPr="00584BCB" w:rsidRDefault="00E53452" w:rsidP="72822302">
      <w:pPr>
        <w:pStyle w:val="Caption"/>
        <w:rPr>
          <w:rFonts w:ascii="Rubik" w:hAnsi="Rubik"/>
          <w:bCs/>
          <w:color w:val="000000" w:themeColor="text1"/>
          <w:sz w:val="22"/>
          <w:szCs w:val="22"/>
        </w:rPr>
      </w:pPr>
      <w:r w:rsidRPr="00584BCB">
        <w:rPr>
          <w:rFonts w:ascii="Rubik" w:hAnsi="Rubik"/>
          <w:bCs/>
          <w:color w:val="000000" w:themeColor="text1"/>
          <w:sz w:val="22"/>
          <w:szCs w:val="22"/>
        </w:rPr>
        <w:lastRenderedPageBreak/>
        <w:t>Table 6. Interventions and outcomes of included studies with people with autism</w:t>
      </w: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3" w:type="dxa"/>
          <w:bottom w:w="113" w:type="dxa"/>
        </w:tblCellMar>
        <w:tblLook w:val="04A0" w:firstRow="1" w:lastRow="0" w:firstColumn="1" w:lastColumn="0" w:noHBand="0" w:noVBand="1"/>
        <w:tblCaption w:val="Table 6"/>
        <w:tblDescription w:val="This table describes the interventions and outcomes of included studies with people with autism."/>
      </w:tblPr>
      <w:tblGrid>
        <w:gridCol w:w="1413"/>
        <w:gridCol w:w="2061"/>
        <w:gridCol w:w="1766"/>
        <w:gridCol w:w="1045"/>
        <w:gridCol w:w="1507"/>
        <w:gridCol w:w="1842"/>
        <w:gridCol w:w="3119"/>
        <w:gridCol w:w="2551"/>
      </w:tblGrid>
      <w:tr w:rsidR="00584BCB" w:rsidRPr="00584BCB" w14:paraId="2BF737CD" w14:textId="77777777" w:rsidTr="0071606A">
        <w:tc>
          <w:tcPr>
            <w:tcW w:w="141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39B1661E"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Study</w:t>
            </w:r>
          </w:p>
        </w:tc>
        <w:tc>
          <w:tcPr>
            <w:tcW w:w="20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65A762D7"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 xml:space="preserve">Interventions </w:t>
            </w:r>
          </w:p>
        </w:tc>
        <w:tc>
          <w:tcPr>
            <w:tcW w:w="17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6187B90E"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Intervention categories</w:t>
            </w:r>
          </w:p>
        </w:tc>
        <w:tc>
          <w:tcPr>
            <w:tcW w:w="10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2ED33DF5" w14:textId="2B8C442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Duration of inter</w:t>
            </w:r>
            <w:r w:rsidR="00526F46" w:rsidRPr="00584BCB">
              <w:rPr>
                <w:rFonts w:ascii="Rubik" w:hAnsi="Rubik"/>
                <w:i/>
                <w:iCs/>
                <w:color w:val="000000" w:themeColor="text1"/>
                <w:sz w:val="18"/>
                <w:szCs w:val="18"/>
              </w:rPr>
              <w:t>-</w:t>
            </w:r>
            <w:r w:rsidRPr="00584BCB">
              <w:rPr>
                <w:rFonts w:ascii="Rubik" w:hAnsi="Rubik"/>
                <w:i/>
                <w:iCs/>
                <w:color w:val="000000" w:themeColor="text1"/>
                <w:sz w:val="18"/>
                <w:szCs w:val="18"/>
              </w:rPr>
              <w:t>vention, months</w:t>
            </w:r>
          </w:p>
        </w:tc>
        <w:tc>
          <w:tcPr>
            <w:tcW w:w="150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78FC9ABF"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Follow-up, months after randomisation</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noWrap/>
            <w:hideMark/>
          </w:tcPr>
          <w:p w14:paraId="0DC97AD0"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 xml:space="preserve">Definition of outcome and measurement (timepoint/period in months) </w:t>
            </w:r>
          </w:p>
        </w:tc>
        <w:tc>
          <w:tcPr>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057946EC"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 xml:space="preserve">Primary outcomes </w:t>
            </w:r>
          </w:p>
        </w:tc>
        <w:tc>
          <w:tcPr>
            <w:tcW w:w="255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7EA4A4"/>
          </w:tcPr>
          <w:p w14:paraId="18A2788B" w14:textId="77777777" w:rsidR="00E53452" w:rsidRPr="00584BCB" w:rsidRDefault="00E53452" w:rsidP="72822302">
            <w:pPr>
              <w:rPr>
                <w:rFonts w:ascii="Rubik" w:hAnsi="Rubik"/>
                <w:i/>
                <w:iCs/>
                <w:color w:val="000000" w:themeColor="text1"/>
                <w:sz w:val="18"/>
                <w:szCs w:val="18"/>
              </w:rPr>
            </w:pPr>
            <w:r w:rsidRPr="00584BCB">
              <w:rPr>
                <w:rFonts w:ascii="Rubik" w:hAnsi="Rubik"/>
                <w:i/>
                <w:iCs/>
                <w:color w:val="000000" w:themeColor="text1"/>
                <w:sz w:val="18"/>
                <w:szCs w:val="18"/>
              </w:rPr>
              <w:t>Results</w:t>
            </w:r>
          </w:p>
        </w:tc>
      </w:tr>
      <w:tr w:rsidR="00584BCB" w:rsidRPr="00584BCB" w14:paraId="61E7CE0E" w14:textId="77777777" w:rsidTr="0071606A">
        <w:trPr>
          <w:cantSplit/>
        </w:trPr>
        <w:tc>
          <w:tcPr>
            <w:tcW w:w="1413" w:type="dxa"/>
            <w:tcBorders>
              <w:top w:val="single" w:sz="4" w:space="0" w:color="000000" w:themeColor="text1"/>
            </w:tcBorders>
            <w:hideMark/>
          </w:tcPr>
          <w:p w14:paraId="46247C01"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Wehman 2014, Wehman 2017</w:t>
            </w:r>
          </w:p>
        </w:tc>
        <w:tc>
          <w:tcPr>
            <w:tcW w:w="2061" w:type="dxa"/>
            <w:tcBorders>
              <w:top w:val="single" w:sz="4" w:space="0" w:color="000000" w:themeColor="text1"/>
            </w:tcBorders>
            <w:hideMark/>
          </w:tcPr>
          <w:p w14:paraId="00B6059D"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Project SEARCH plus ASD Supports vs. High school special education services as usual</w:t>
            </w:r>
          </w:p>
        </w:tc>
        <w:tc>
          <w:tcPr>
            <w:tcW w:w="1766" w:type="dxa"/>
            <w:tcBorders>
              <w:top w:val="single" w:sz="4" w:space="0" w:color="000000" w:themeColor="text1"/>
            </w:tcBorders>
          </w:tcPr>
          <w:p w14:paraId="620203F1"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Collaborative, employer-based employment training and placement program</w:t>
            </w:r>
          </w:p>
        </w:tc>
        <w:tc>
          <w:tcPr>
            <w:tcW w:w="1045" w:type="dxa"/>
            <w:tcBorders>
              <w:top w:val="single" w:sz="4" w:space="0" w:color="000000" w:themeColor="text1"/>
            </w:tcBorders>
            <w:hideMark/>
          </w:tcPr>
          <w:p w14:paraId="025E1F54"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9 </w:t>
            </w:r>
          </w:p>
        </w:tc>
        <w:tc>
          <w:tcPr>
            <w:tcW w:w="1507" w:type="dxa"/>
            <w:tcBorders>
              <w:top w:val="single" w:sz="4" w:space="0" w:color="000000" w:themeColor="text1"/>
            </w:tcBorders>
            <w:hideMark/>
          </w:tcPr>
          <w:p w14:paraId="6FE4923C"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9 (post-intervention)</w:t>
            </w:r>
          </w:p>
          <w:p w14:paraId="2ECAF4E5" w14:textId="77777777" w:rsidR="00E53452" w:rsidRPr="00584BCB" w:rsidRDefault="00E53452" w:rsidP="0076181F">
            <w:pPr>
              <w:rPr>
                <w:rFonts w:ascii="Rubik" w:hAnsi="Rubik"/>
                <w:color w:val="000000" w:themeColor="text1"/>
                <w:szCs w:val="20"/>
              </w:rPr>
            </w:pPr>
          </w:p>
        </w:tc>
        <w:tc>
          <w:tcPr>
            <w:tcW w:w="1842" w:type="dxa"/>
            <w:tcBorders>
              <w:top w:val="single" w:sz="4" w:space="0" w:color="000000" w:themeColor="text1"/>
            </w:tcBorders>
            <w:hideMark/>
          </w:tcPr>
          <w:p w14:paraId="3B21D1BA"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Open employment (9)</w:t>
            </w:r>
          </w:p>
        </w:tc>
        <w:tc>
          <w:tcPr>
            <w:tcW w:w="3119" w:type="dxa"/>
            <w:tcBorders>
              <w:top w:val="single" w:sz="4" w:space="0" w:color="000000" w:themeColor="text1"/>
            </w:tcBorders>
          </w:tcPr>
          <w:p w14:paraId="1B77B2ED"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Intervention participants were more likely to be in competitive employment than control participants at graduation (74.2%, 23/31 versus 5.6%, 1/18, respectively; p &lt; 0.0001)</w:t>
            </w:r>
          </w:p>
        </w:tc>
        <w:tc>
          <w:tcPr>
            <w:tcW w:w="2551" w:type="dxa"/>
            <w:tcBorders>
              <w:top w:val="single" w:sz="4" w:space="0" w:color="000000" w:themeColor="text1"/>
            </w:tcBorders>
          </w:tcPr>
          <w:p w14:paraId="5A17E638" w14:textId="286CF940"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Favours </w:t>
            </w:r>
            <w:r w:rsidR="00F92926" w:rsidRPr="00584BCB">
              <w:rPr>
                <w:rFonts w:ascii="Rubik" w:hAnsi="Rubik"/>
                <w:color w:val="000000" w:themeColor="text1"/>
                <w:szCs w:val="20"/>
              </w:rPr>
              <w:t>Project SEARCH plus ASD Supports</w:t>
            </w:r>
          </w:p>
        </w:tc>
      </w:tr>
      <w:tr w:rsidR="00584BCB" w:rsidRPr="00584BCB" w14:paraId="3B132FA3" w14:textId="77777777" w:rsidTr="00BF49AC">
        <w:tc>
          <w:tcPr>
            <w:tcW w:w="1413" w:type="dxa"/>
            <w:hideMark/>
          </w:tcPr>
          <w:p w14:paraId="14D8D584"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Wehman 2020</w:t>
            </w:r>
          </w:p>
        </w:tc>
        <w:tc>
          <w:tcPr>
            <w:tcW w:w="2061" w:type="dxa"/>
            <w:hideMark/>
          </w:tcPr>
          <w:p w14:paraId="5D83E80B"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Project SEARCH plus ASD Supports vs. High school special education services as usual</w:t>
            </w:r>
          </w:p>
        </w:tc>
        <w:tc>
          <w:tcPr>
            <w:tcW w:w="1766" w:type="dxa"/>
          </w:tcPr>
          <w:p w14:paraId="2869C597"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Collaborative, employer-based employment training and placement program</w:t>
            </w:r>
          </w:p>
        </w:tc>
        <w:tc>
          <w:tcPr>
            <w:tcW w:w="1045" w:type="dxa"/>
            <w:hideMark/>
          </w:tcPr>
          <w:p w14:paraId="7CCDF24A"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9 </w:t>
            </w:r>
          </w:p>
        </w:tc>
        <w:tc>
          <w:tcPr>
            <w:tcW w:w="1507" w:type="dxa"/>
            <w:hideMark/>
          </w:tcPr>
          <w:p w14:paraId="03D5092E"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9</w:t>
            </w:r>
          </w:p>
          <w:p w14:paraId="1ECDECC6" w14:textId="77777777" w:rsidR="00E53452" w:rsidRPr="00584BCB" w:rsidRDefault="00E53452" w:rsidP="0076181F">
            <w:pPr>
              <w:rPr>
                <w:rFonts w:ascii="Rubik" w:hAnsi="Rubik"/>
                <w:color w:val="000000" w:themeColor="text1"/>
                <w:szCs w:val="20"/>
              </w:rPr>
            </w:pPr>
          </w:p>
        </w:tc>
        <w:tc>
          <w:tcPr>
            <w:tcW w:w="1842" w:type="dxa"/>
            <w:hideMark/>
          </w:tcPr>
          <w:p w14:paraId="5D013135"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Open employment (9)</w:t>
            </w:r>
          </w:p>
        </w:tc>
        <w:tc>
          <w:tcPr>
            <w:tcW w:w="3119" w:type="dxa"/>
          </w:tcPr>
          <w:p w14:paraId="11C9B0D3"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Intervention participants were more likely to be in employment than control participants, (31.6% vs 4.8% P &lt; 0.001; adj RR 5.84, 95% CI 1.50, 13.3, P=0.014)</w:t>
            </w:r>
          </w:p>
        </w:tc>
        <w:tc>
          <w:tcPr>
            <w:tcW w:w="2551" w:type="dxa"/>
          </w:tcPr>
          <w:p w14:paraId="019137B8" w14:textId="3BDE1A82"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Favours</w:t>
            </w:r>
            <w:r w:rsidR="00D17F82" w:rsidRPr="00584BCB">
              <w:rPr>
                <w:rFonts w:ascii="Rubik" w:hAnsi="Rubik"/>
                <w:color w:val="000000" w:themeColor="text1"/>
                <w:szCs w:val="20"/>
              </w:rPr>
              <w:t xml:space="preserve"> </w:t>
            </w:r>
            <w:r w:rsidR="00F92926" w:rsidRPr="00584BCB">
              <w:rPr>
                <w:rFonts w:ascii="Rubik" w:hAnsi="Rubik"/>
                <w:color w:val="000000" w:themeColor="text1"/>
                <w:szCs w:val="20"/>
              </w:rPr>
              <w:t>Project SEARCH plus ASD Supports</w:t>
            </w:r>
          </w:p>
        </w:tc>
      </w:tr>
      <w:tr w:rsidR="00584BCB" w:rsidRPr="00584BCB" w14:paraId="1F2DAF97" w14:textId="77777777" w:rsidTr="00BF49AC">
        <w:tc>
          <w:tcPr>
            <w:tcW w:w="1413" w:type="dxa"/>
            <w:hideMark/>
          </w:tcPr>
          <w:p w14:paraId="6A1756FB"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Whittenburg 2020</w:t>
            </w:r>
          </w:p>
        </w:tc>
        <w:tc>
          <w:tcPr>
            <w:tcW w:w="2061" w:type="dxa"/>
            <w:hideMark/>
          </w:tcPr>
          <w:p w14:paraId="1C70CD87"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Project SEARCH plus ASD Supports vs High school special education services as usual</w:t>
            </w:r>
          </w:p>
        </w:tc>
        <w:tc>
          <w:tcPr>
            <w:tcW w:w="1766" w:type="dxa"/>
          </w:tcPr>
          <w:p w14:paraId="2E896E90"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Collaborative, employer-based employment training and placement program</w:t>
            </w:r>
          </w:p>
        </w:tc>
        <w:tc>
          <w:tcPr>
            <w:tcW w:w="1045" w:type="dxa"/>
            <w:hideMark/>
          </w:tcPr>
          <w:p w14:paraId="69635ED4"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NR</w:t>
            </w:r>
          </w:p>
        </w:tc>
        <w:tc>
          <w:tcPr>
            <w:tcW w:w="1507" w:type="dxa"/>
            <w:hideMark/>
          </w:tcPr>
          <w:p w14:paraId="2439E706"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12 </w:t>
            </w:r>
          </w:p>
          <w:p w14:paraId="5C609C42" w14:textId="77777777" w:rsidR="00E53452" w:rsidRPr="00584BCB" w:rsidRDefault="00E53452" w:rsidP="0076181F">
            <w:pPr>
              <w:rPr>
                <w:rFonts w:ascii="Rubik" w:hAnsi="Rubik"/>
                <w:color w:val="000000" w:themeColor="text1"/>
                <w:szCs w:val="20"/>
              </w:rPr>
            </w:pPr>
          </w:p>
        </w:tc>
        <w:tc>
          <w:tcPr>
            <w:tcW w:w="1842" w:type="dxa"/>
            <w:hideMark/>
          </w:tcPr>
          <w:p w14:paraId="015769F8"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Accepted job offers for open employment (0-12)</w:t>
            </w:r>
          </w:p>
          <w:p w14:paraId="11890858" w14:textId="77777777" w:rsidR="00E53452" w:rsidRPr="00584BCB" w:rsidRDefault="00E53452" w:rsidP="0076181F">
            <w:pPr>
              <w:rPr>
                <w:rFonts w:ascii="Rubik" w:hAnsi="Rubik"/>
                <w:color w:val="000000" w:themeColor="text1"/>
                <w:szCs w:val="20"/>
              </w:rPr>
            </w:pPr>
          </w:p>
          <w:p w14:paraId="5111C2C1" w14:textId="61BFDBE8" w:rsidR="00E53452" w:rsidRPr="00584BCB" w:rsidRDefault="001007FB" w:rsidP="0076181F">
            <w:pPr>
              <w:rPr>
                <w:rFonts w:ascii="Rubik" w:hAnsi="Rubik"/>
                <w:color w:val="000000" w:themeColor="text1"/>
                <w:szCs w:val="20"/>
              </w:rPr>
            </w:pPr>
            <w:r w:rsidRPr="00584BCB">
              <w:rPr>
                <w:rFonts w:ascii="Rubik" w:hAnsi="Rubik"/>
                <w:color w:val="000000" w:themeColor="text1"/>
                <w:szCs w:val="20"/>
              </w:rPr>
              <w:t>Supported</w:t>
            </w:r>
            <w:r w:rsidR="00E53452" w:rsidRPr="00584BCB">
              <w:rPr>
                <w:rFonts w:ascii="Rubik" w:hAnsi="Rubik"/>
                <w:color w:val="000000" w:themeColor="text1"/>
                <w:szCs w:val="20"/>
              </w:rPr>
              <w:t xml:space="preserve"> work (12)</w:t>
            </w:r>
          </w:p>
        </w:tc>
        <w:tc>
          <w:tcPr>
            <w:tcW w:w="3119" w:type="dxa"/>
          </w:tcPr>
          <w:p w14:paraId="31694097" w14:textId="77777777"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More intervention participants accepted job offers compared to control group participants (83.3% vs 12.5%, no statistical analyses, very small group).</w:t>
            </w:r>
          </w:p>
          <w:p w14:paraId="7A0FFB96" w14:textId="55FB91BE"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At the 12-month follow-up, one of the control participants and none of the PS+ASD participants was in </w:t>
            </w:r>
            <w:r w:rsidR="001007FB" w:rsidRPr="00584BCB">
              <w:rPr>
                <w:rFonts w:ascii="Rubik" w:hAnsi="Rubik"/>
                <w:color w:val="000000" w:themeColor="text1"/>
                <w:szCs w:val="20"/>
              </w:rPr>
              <w:t>supported</w:t>
            </w:r>
            <w:r w:rsidRPr="00584BCB">
              <w:rPr>
                <w:rFonts w:ascii="Rubik" w:hAnsi="Rubik"/>
                <w:color w:val="000000" w:themeColor="text1"/>
                <w:szCs w:val="20"/>
              </w:rPr>
              <w:t xml:space="preserve"> work.</w:t>
            </w:r>
          </w:p>
        </w:tc>
        <w:tc>
          <w:tcPr>
            <w:tcW w:w="2551" w:type="dxa"/>
          </w:tcPr>
          <w:p w14:paraId="52339025" w14:textId="09C2F25F" w:rsidR="00E53452" w:rsidRPr="00584BCB" w:rsidRDefault="00E53452" w:rsidP="0076181F">
            <w:pPr>
              <w:rPr>
                <w:rFonts w:ascii="Rubik" w:hAnsi="Rubik"/>
                <w:color w:val="000000" w:themeColor="text1"/>
                <w:szCs w:val="20"/>
              </w:rPr>
            </w:pPr>
            <w:r w:rsidRPr="00584BCB">
              <w:rPr>
                <w:rFonts w:ascii="Rubik" w:hAnsi="Rubik"/>
                <w:color w:val="000000" w:themeColor="text1"/>
                <w:szCs w:val="20"/>
              </w:rPr>
              <w:t xml:space="preserve">Probably favours SE + ASD for open employment (no statistical analysis performed), no effect for </w:t>
            </w:r>
            <w:r w:rsidR="001007FB" w:rsidRPr="00584BCB">
              <w:rPr>
                <w:rFonts w:ascii="Rubik" w:hAnsi="Rubik"/>
                <w:color w:val="000000" w:themeColor="text1"/>
                <w:szCs w:val="20"/>
              </w:rPr>
              <w:t>supported</w:t>
            </w:r>
            <w:r w:rsidRPr="00584BCB">
              <w:rPr>
                <w:rFonts w:ascii="Rubik" w:hAnsi="Rubik"/>
                <w:color w:val="000000" w:themeColor="text1"/>
                <w:szCs w:val="20"/>
              </w:rPr>
              <w:t xml:space="preserve"> employment.</w:t>
            </w:r>
          </w:p>
        </w:tc>
      </w:tr>
    </w:tbl>
    <w:p w14:paraId="1B1B850D" w14:textId="38D0EFD6" w:rsidR="00E53452" w:rsidRPr="00584BCB" w:rsidRDefault="00F92926" w:rsidP="00BD1825">
      <w:pPr>
        <w:rPr>
          <w:rFonts w:ascii="Rubik" w:hAnsi="Rubik"/>
          <w:color w:val="000000" w:themeColor="text1"/>
          <w:szCs w:val="20"/>
        </w:rPr>
        <w:sectPr w:rsidR="00E53452" w:rsidRPr="00584BCB" w:rsidSect="004524C0">
          <w:headerReference w:type="default" r:id="rId20"/>
          <w:pgSz w:w="16840" w:h="11900" w:orient="landscape"/>
          <w:pgMar w:top="720" w:right="720" w:bottom="720" w:left="720" w:header="720" w:footer="720" w:gutter="0"/>
          <w:cols w:space="720"/>
          <w:docGrid w:linePitch="299"/>
        </w:sectPr>
      </w:pPr>
      <w:r w:rsidRPr="00584BCB">
        <w:rPr>
          <w:rFonts w:ascii="Rubik" w:hAnsi="Rubik"/>
          <w:color w:val="000000" w:themeColor="text1"/>
          <w:szCs w:val="20"/>
        </w:rPr>
        <w:t xml:space="preserve"> </w:t>
      </w:r>
      <w:r w:rsidR="005B1703" w:rsidRPr="00584BCB">
        <w:rPr>
          <w:rFonts w:ascii="Rubik" w:hAnsi="Rubik"/>
          <w:color w:val="000000" w:themeColor="text1"/>
          <w:szCs w:val="20"/>
        </w:rPr>
        <w:t xml:space="preserve">Key: </w:t>
      </w:r>
      <w:r w:rsidRPr="00584BCB">
        <w:rPr>
          <w:rFonts w:ascii="Rubik" w:hAnsi="Rubik"/>
          <w:color w:val="000000" w:themeColor="text1"/>
          <w:szCs w:val="20"/>
        </w:rPr>
        <w:t>ASD=autism spectrum disorder</w:t>
      </w:r>
      <w:r w:rsidR="001B7B51" w:rsidRPr="00584BCB">
        <w:rPr>
          <w:rFonts w:ascii="Rubik" w:hAnsi="Rubik"/>
          <w:color w:val="000000" w:themeColor="text1"/>
          <w:szCs w:val="20"/>
        </w:rPr>
        <w:t>, RR=risk ratio, CI= confidence interval</w:t>
      </w:r>
    </w:p>
    <w:p w14:paraId="4DE84DBE" w14:textId="77777777" w:rsidR="00BD1825" w:rsidRPr="00584BCB" w:rsidRDefault="00BD1825" w:rsidP="00BE76F9">
      <w:pPr>
        <w:pStyle w:val="Heading1"/>
        <w:rPr>
          <w:color w:val="000000" w:themeColor="text1"/>
        </w:rPr>
      </w:pPr>
      <w:bookmarkStart w:id="37" w:name="_Toc61857837"/>
      <w:bookmarkStart w:id="38" w:name="_Toc66716615"/>
      <w:r w:rsidRPr="00584BCB">
        <w:rPr>
          <w:color w:val="000000" w:themeColor="text1"/>
        </w:rPr>
        <w:lastRenderedPageBreak/>
        <w:t>Supplementary file 1:</w:t>
      </w:r>
      <w:bookmarkEnd w:id="37"/>
      <w:r w:rsidRPr="00584BCB">
        <w:rPr>
          <w:color w:val="000000" w:themeColor="text1"/>
        </w:rPr>
        <w:t xml:space="preserve"> diagnostic criteria</w:t>
      </w:r>
      <w:bookmarkEnd w:id="38"/>
    </w:p>
    <w:p w14:paraId="63FB49C4"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Autism</w:t>
      </w:r>
    </w:p>
    <w:p w14:paraId="3A49C99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The latest version of the Diagnostic and Statistical Manual (DSM-5) categorises Autism Spectrum Disorder into 3 levels:</w:t>
      </w:r>
    </w:p>
    <w:p w14:paraId="3BC729C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Level 1 – Requires Support</w:t>
      </w:r>
    </w:p>
    <w:p w14:paraId="629995A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Level 2 – Requires Substantial Support</w:t>
      </w:r>
    </w:p>
    <w:p w14:paraId="390FC90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Level 3 – Requires Very Substantial Support</w:t>
      </w:r>
    </w:p>
    <w:p w14:paraId="2DA07181" w14:textId="5CA39E86" w:rsidR="00BD1825" w:rsidRPr="00584BCB" w:rsidRDefault="00BD1825" w:rsidP="00BD1825">
      <w:pPr>
        <w:rPr>
          <w:rFonts w:ascii="Rubik" w:hAnsi="Rubik"/>
          <w:color w:val="000000" w:themeColor="text1"/>
          <w:sz w:val="22"/>
        </w:rPr>
      </w:pPr>
      <w:r w:rsidRPr="00584BCB">
        <w:rPr>
          <w:rFonts w:ascii="Rubik" w:hAnsi="Rubik"/>
          <w:color w:val="000000" w:themeColor="text1"/>
          <w:sz w:val="22"/>
        </w:rPr>
        <w:t>NDIS eligibility is based on reduced</w:t>
      </w:r>
      <w:r w:rsidRPr="00584BCB">
        <w:rPr>
          <w:rFonts w:ascii="Times New Roman" w:hAnsi="Times New Roman" w:cs="Times New Roman"/>
          <w:color w:val="000000" w:themeColor="text1"/>
          <w:sz w:val="22"/>
        </w:rPr>
        <w:t> </w:t>
      </w:r>
      <w:r w:rsidRPr="00584BCB">
        <w:rPr>
          <w:rFonts w:ascii="Rubik" w:hAnsi="Rubik"/>
          <w:color w:val="000000" w:themeColor="text1"/>
          <w:sz w:val="22"/>
        </w:rPr>
        <w:t>Functional Capacity</w:t>
      </w:r>
      <w:r w:rsidRPr="00584BCB">
        <w:rPr>
          <w:rFonts w:ascii="Times New Roman" w:hAnsi="Times New Roman" w:cs="Times New Roman"/>
          <w:color w:val="000000" w:themeColor="text1"/>
          <w:sz w:val="22"/>
        </w:rPr>
        <w:t> </w:t>
      </w:r>
      <w:r w:rsidRPr="00584BCB">
        <w:rPr>
          <w:rFonts w:ascii="Rubik" w:hAnsi="Rubik"/>
          <w:color w:val="000000" w:themeColor="text1"/>
          <w:sz w:val="22"/>
        </w:rPr>
        <w:t xml:space="preserve">in one or more of the following </w:t>
      </w:r>
      <w:r w:rsidR="00E448DB" w:rsidRPr="00584BCB">
        <w:rPr>
          <w:rFonts w:ascii="Rubik" w:hAnsi="Rubik"/>
          <w:color w:val="000000" w:themeColor="text1"/>
          <w:sz w:val="22"/>
        </w:rPr>
        <w:t>areas:</w:t>
      </w:r>
      <w:r w:rsidRPr="00584BCB">
        <w:rPr>
          <w:rFonts w:ascii="Times New Roman" w:hAnsi="Times New Roman" w:cs="Times New Roman"/>
          <w:color w:val="000000" w:themeColor="text1"/>
          <w:sz w:val="22"/>
        </w:rPr>
        <w:t> </w:t>
      </w:r>
      <w:r w:rsidRPr="00584BCB">
        <w:rPr>
          <w:rFonts w:ascii="Rubik" w:hAnsi="Rubik"/>
          <w:color w:val="000000" w:themeColor="text1"/>
          <w:sz w:val="22"/>
        </w:rPr>
        <w:t>Communication, Mobility, Social Interaction, Learning, Self-Care and Self-Management and the NDIA have Lists A-E to assist them to determine eligibility.</w:t>
      </w:r>
    </w:p>
    <w:p w14:paraId="7F2F38C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List A</w:t>
      </w:r>
      <w:r w:rsidRPr="00584BCB">
        <w:rPr>
          <w:rFonts w:ascii="Times New Roman" w:hAnsi="Times New Roman" w:cs="Times New Roman"/>
          <w:color w:val="000000" w:themeColor="text1"/>
          <w:sz w:val="22"/>
        </w:rPr>
        <w:t> </w:t>
      </w:r>
      <w:r w:rsidRPr="00584BCB">
        <w:rPr>
          <w:rFonts w:ascii="Rubik" w:hAnsi="Rubik"/>
          <w:color w:val="000000" w:themeColor="text1"/>
          <w:sz w:val="22"/>
        </w:rPr>
        <w:t>– conditions that are likely to automatically meet disability requirements (outlined in Section 24 of the NDIS Act) with no further assessments required:</w:t>
      </w:r>
    </w:p>
    <w:p w14:paraId="51A21F1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Autism diagnosed by a specialist multi-disciplinary team, pediatrician, psychiatrist or clinical psychologist experienced in the assessment of Pervasive Developmental Disorders, and assessed using the current Diagnostic and Statistical Manual of Mental Disorders (DSM-5) diagnostic criteria as having severity of Level 2 (Requiring substantial support) or Level 3 (Requiring very substantial support)</w:t>
      </w:r>
    </w:p>
    <w:p w14:paraId="53902F8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List B</w:t>
      </w:r>
      <w:r w:rsidRPr="00584BCB">
        <w:rPr>
          <w:rFonts w:ascii="Times New Roman" w:hAnsi="Times New Roman" w:cs="Times New Roman"/>
          <w:color w:val="000000" w:themeColor="text1"/>
          <w:sz w:val="22"/>
        </w:rPr>
        <w:t> </w:t>
      </w:r>
      <w:r w:rsidRPr="00584BCB">
        <w:rPr>
          <w:rFonts w:ascii="Rubik" w:hAnsi="Rubik"/>
          <w:color w:val="000000" w:themeColor="text1"/>
          <w:sz w:val="22"/>
        </w:rPr>
        <w:t>– permanent conditions for which functional capacity is variable and further assessment of functional capacity is generally required:</w:t>
      </w:r>
    </w:p>
    <w:p w14:paraId="5D7CAE1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Pervasive developmental disorders not meeting severity criteria in List A or List C</w:t>
      </w:r>
    </w:p>
    <w:p w14:paraId="132F1327"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Asperger syndrome</w:t>
      </w:r>
    </w:p>
    <w:p w14:paraId="0FFE8980"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Atypical autism</w:t>
      </w:r>
    </w:p>
    <w:p w14:paraId="32EDAE2C"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Childhood autism</w:t>
      </w:r>
    </w:p>
    <w:p w14:paraId="633F8A1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List C</w:t>
      </w:r>
      <w:r w:rsidRPr="00584BCB">
        <w:rPr>
          <w:rFonts w:ascii="Times New Roman" w:hAnsi="Times New Roman" w:cs="Times New Roman"/>
          <w:color w:val="000000" w:themeColor="text1"/>
          <w:sz w:val="22"/>
        </w:rPr>
        <w:t> </w:t>
      </w:r>
      <w:r w:rsidRPr="00584BCB">
        <w:rPr>
          <w:rFonts w:ascii="Rubik" w:hAnsi="Rubik"/>
          <w:color w:val="000000" w:themeColor="text1"/>
          <w:sz w:val="22"/>
        </w:rPr>
        <w:t>– refers to defined programs</w:t>
      </w:r>
    </w:p>
    <w:p w14:paraId="17A0EE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List D</w:t>
      </w:r>
      <w:r w:rsidRPr="00584BCB">
        <w:rPr>
          <w:rFonts w:ascii="Times New Roman" w:hAnsi="Times New Roman" w:cs="Times New Roman"/>
          <w:color w:val="000000" w:themeColor="text1"/>
          <w:sz w:val="22"/>
        </w:rPr>
        <w:t> </w:t>
      </w:r>
      <w:r w:rsidRPr="00584BCB">
        <w:rPr>
          <w:rFonts w:ascii="Rubik" w:hAnsi="Rubik"/>
          <w:color w:val="000000" w:themeColor="text1"/>
          <w:sz w:val="22"/>
        </w:rPr>
        <w:t>– Permanent Impairment/Early Intervention, under 7 years – no further assessment required</w:t>
      </w:r>
    </w:p>
    <w:p w14:paraId="13F0E1F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List E</w:t>
      </w:r>
      <w:r w:rsidRPr="00584BCB">
        <w:rPr>
          <w:rFonts w:ascii="Times New Roman" w:hAnsi="Times New Roman" w:cs="Times New Roman"/>
          <w:color w:val="000000" w:themeColor="text1"/>
          <w:sz w:val="22"/>
        </w:rPr>
        <w:t> </w:t>
      </w:r>
      <w:r w:rsidRPr="00584BCB">
        <w:rPr>
          <w:rFonts w:ascii="Rubik" w:hAnsi="Rubik"/>
          <w:color w:val="000000" w:themeColor="text1"/>
          <w:sz w:val="22"/>
        </w:rPr>
        <w:t>– Qualifying programs</w:t>
      </w:r>
    </w:p>
    <w:p w14:paraId="1B18FA3A"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Intellectual disability</w:t>
      </w:r>
    </w:p>
    <w:p w14:paraId="2844397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Conditions that are likely to meet disability requirements in section 24 of the NDIS Act include intellectual disability diagnosed and assessed as moderate, severe or profound in accordance with current DSM criteria (e.g. IQ 55 points or less and severe deficits in adaptive functioning).</w:t>
      </w:r>
    </w:p>
    <w:p w14:paraId="5C5D857C"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Psychosocial disability</w:t>
      </w:r>
    </w:p>
    <w:p w14:paraId="0AD6DE89" w14:textId="36AFCEEB"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Not all people with mental health issues will have access to the NDIS however people with a significant disability that is likely to be permanent may qualify for NDIS support.  In relation to the NDIS, mental health recovery does not necessarily mean there is a permanent absence of the symptoms, impairments and/or </w:t>
      </w:r>
      <w:r w:rsidR="000823D5" w:rsidRPr="00584BCB">
        <w:rPr>
          <w:rFonts w:ascii="Rubik" w:hAnsi="Rubik"/>
          <w:color w:val="000000" w:themeColor="text1"/>
          <w:sz w:val="22"/>
        </w:rPr>
        <w:t>disability</w:t>
      </w:r>
      <w:r w:rsidRPr="00584BCB">
        <w:rPr>
          <w:rFonts w:ascii="Rubik" w:hAnsi="Rubik"/>
          <w:color w:val="000000" w:themeColor="text1"/>
          <w:sz w:val="22"/>
        </w:rPr>
        <w:t xml:space="preserve"> that people can experience. Rather it is understood that psychosocial </w:t>
      </w:r>
      <w:r w:rsidR="000823D5" w:rsidRPr="00584BCB">
        <w:rPr>
          <w:rFonts w:ascii="Rubik" w:hAnsi="Rubik"/>
          <w:color w:val="000000" w:themeColor="text1"/>
          <w:sz w:val="22"/>
        </w:rPr>
        <w:t>disability</w:t>
      </w:r>
      <w:r w:rsidRPr="00584BCB">
        <w:rPr>
          <w:rFonts w:ascii="Rubik" w:hAnsi="Rubik"/>
          <w:color w:val="000000" w:themeColor="text1"/>
          <w:sz w:val="22"/>
        </w:rPr>
        <w:t xml:space="preserve"> can be “…episodic or persistent, debilitating and long lasting”. The NDIA states, “[r]ecovery is about achieving an optimal state of personal, social and emotional wellbeing, as defined by each individual, whilst living with or recovering from mental health issues”.</w:t>
      </w:r>
      <w:r w:rsidRPr="00584BCB">
        <w:rPr>
          <w:rFonts w:ascii="Rubik" w:hAnsi="Rubik"/>
          <w:color w:val="000000" w:themeColor="text1"/>
          <w:sz w:val="22"/>
        </w:rPr>
        <w:br w:type="page"/>
      </w:r>
    </w:p>
    <w:p w14:paraId="7023E43D" w14:textId="77777777" w:rsidR="00BD1825" w:rsidRPr="00584BCB" w:rsidRDefault="00BD1825" w:rsidP="00BE76F9">
      <w:pPr>
        <w:pStyle w:val="Heading1"/>
        <w:rPr>
          <w:color w:val="000000" w:themeColor="text1"/>
        </w:rPr>
      </w:pPr>
      <w:bookmarkStart w:id="39" w:name="_Toc61857838"/>
      <w:bookmarkStart w:id="40" w:name="_Toc66716616"/>
      <w:r w:rsidRPr="00584BCB">
        <w:rPr>
          <w:color w:val="000000" w:themeColor="text1"/>
        </w:rPr>
        <w:lastRenderedPageBreak/>
        <w:t xml:space="preserve">Supplementary file 2: Systematic Review </w:t>
      </w:r>
      <w:bookmarkEnd w:id="39"/>
      <w:r w:rsidRPr="00584BCB">
        <w:rPr>
          <w:color w:val="000000" w:themeColor="text1"/>
        </w:rPr>
        <w:t>Search Strategy</w:t>
      </w:r>
      <w:bookmarkEnd w:id="40"/>
    </w:p>
    <w:p w14:paraId="634D761D" w14:textId="77777777" w:rsidR="00BD1825" w:rsidRPr="00584BCB" w:rsidRDefault="00BD1825" w:rsidP="00BD1825">
      <w:pPr>
        <w:rPr>
          <w:rFonts w:ascii="Rubik" w:hAnsi="Rubik"/>
          <w:color w:val="000000" w:themeColor="text1"/>
          <w:sz w:val="22"/>
        </w:rPr>
      </w:pPr>
    </w:p>
    <w:p w14:paraId="2DB921AF"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MEDLINE</w:t>
      </w:r>
    </w:p>
    <w:p w14:paraId="324E06A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 randomized controlled trial.pt. </w:t>
      </w:r>
    </w:p>
    <w:p w14:paraId="7662D4F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 controlled clinical trial.pt. </w:t>
      </w:r>
    </w:p>
    <w:p w14:paraId="4891EC5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 randomi*ed.ab. </w:t>
      </w:r>
    </w:p>
    <w:p w14:paraId="2123A36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4 placebo.ab. </w:t>
      </w:r>
    </w:p>
    <w:p w14:paraId="6F3FDD2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5 clinical trials as topic.sh. </w:t>
      </w:r>
    </w:p>
    <w:p w14:paraId="00136F3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6 randomly.ab. </w:t>
      </w:r>
    </w:p>
    <w:p w14:paraId="049D7EC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7 trial.ti. </w:t>
      </w:r>
    </w:p>
    <w:p w14:paraId="2916235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8 1 or 2 or 3 or 4 or 5 or 6 or 7 </w:t>
      </w:r>
    </w:p>
    <w:p w14:paraId="51568FD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9 exp animals/ not humans.sh. </w:t>
      </w:r>
    </w:p>
    <w:p w14:paraId="00D8636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10 8 not 9</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{"citationID":"daRFRigJ","properties":{"formattedCitation":"\\super 48\\nosupersub{}","plainCitation":"48","noteIndex":0},"citationItems":[{"id":110120,"uris":["http://zotero.org/users/5729315/items/RCMHQH77"],"uri":["http://zotero.org/users/5729315/items/RCMHQH77"],"itemData":{"id":110120,"type":"article","note":"Lefebvre C, Glanville J, Briscoe S, Littlewood A,\nMarshall C, Metzendorf M-I, Noel-Storr A, Rader T, Shokraneh F, Thomas J, Wieland LS.\nTechnical Supplement to Chapter 4: Searching for and selecting studies. In: Higgins JPT,\nThomas J, Chandler J, Cumpston MS, Li T, Page MJ, Welch VA (eds). Cochrane Handbook for\nSystematic Reviews of Interventions Version 6. Cochrane, 2019. Available from:\nwww.training.cochrane.org/handbook.","publisher":"In: Higgins JPT, Thomas J, Chandler J, Cumpston MS, Li T, Page MJ, Welch VA (eds). Cochrane Handbook for Systematic Reviews of Interventions Version 6. Cochrane, 2019.","title":"Technical Supplement to Chapter 4: Searching for and selecting studies.","URL":"www.training.cochrane.org/handbook","author":[{"family":"Lefebvre","given":"C"},{"family":"Glanville","given":"J"},{"family":"Briscoe","given":"S"},{"family":"Littlewood","given":"A"},{"family":"Marshall","given":"C"},{"family":"Metzendorf","given":"M-I"},{"family":"Noel-Storr","given":"A"},{"family":"Rader","given":"T"},{"family":"Shokraneh","given":"F"},{"family":"Thomas","given":"J"},{"family":"Wieland","given":"LS"}]}}],"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48</w:t>
      </w:r>
      <w:r w:rsidRPr="00584BCB">
        <w:rPr>
          <w:rFonts w:ascii="Rubik" w:hAnsi="Rubik"/>
          <w:color w:val="000000" w:themeColor="text1"/>
          <w:sz w:val="22"/>
        </w:rPr>
        <w:fldChar w:fldCharType="end"/>
      </w:r>
      <w:r w:rsidRPr="00584BCB">
        <w:rPr>
          <w:rFonts w:ascii="Rubik" w:hAnsi="Rubik"/>
          <w:color w:val="000000" w:themeColor="text1"/>
          <w:sz w:val="22"/>
        </w:rPr>
        <w:t> </w:t>
      </w:r>
    </w:p>
    <w:p w14:paraId="086A206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11 exp Autism Spectrum Disorder/  </w:t>
      </w:r>
    </w:p>
    <w:p w14:paraId="6A6A4C9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12 ("autism spectrum disorder*" OR "autism" OR "autistic" OR "asperger*" OR "pervasive developmental disorder*").ti,ab. </w:t>
      </w:r>
    </w:p>
    <w:p w14:paraId="0B09FA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13 11 or 12  </w:t>
      </w:r>
    </w:p>
    <w:p w14:paraId="18E222D4" w14:textId="0B6951B5"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14 exp intellectual disability/ or developmental </w:t>
      </w:r>
      <w:r w:rsidR="000823D5" w:rsidRPr="00584BCB">
        <w:rPr>
          <w:rFonts w:ascii="Rubik" w:hAnsi="Rubik"/>
          <w:color w:val="000000" w:themeColor="text1"/>
          <w:sz w:val="22"/>
        </w:rPr>
        <w:t>disability</w:t>
      </w:r>
      <w:r w:rsidRPr="00584BCB">
        <w:rPr>
          <w:rFonts w:ascii="Rubik" w:hAnsi="Rubik"/>
          <w:color w:val="000000" w:themeColor="text1"/>
          <w:sz w:val="22"/>
        </w:rPr>
        <w:t>/ or mentally disabled persons/ </w:t>
      </w:r>
    </w:p>
    <w:p w14:paraId="365ED50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15 ("intellectual* disab*" OR "learning disab*" OR "developmental* disab*" OR "development* disorder*" OR "cognitive* disab*" OR "fragile x syndrome" OR "down* syndrome" OR "developmental delay*" OR "prader-willi syndrome" OR "fetal alcohol spectrum disorder*").ti,ab.   </w:t>
      </w:r>
    </w:p>
    <w:p w14:paraId="6F1FB90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16 14 or 15  </w:t>
      </w:r>
    </w:p>
    <w:p w14:paraId="2F0AE81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17 mental disorders/ or anxiety disorders/ or exp "bipolar and related disorders"/ or mood disorders/ or depressive disorder/ or depressive disorder, major/ or depressive disorder, treatment-resistant/ or "schizophrenia spectrum and other psychotic disorders"/ or affective disorders, psychotic/ or psychotic disorders/ or schizophrenia/ or mentally ill persons/  </w:t>
      </w:r>
    </w:p>
    <w:p w14:paraId="50766F0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18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adj3 (severe or major)) OR ("depressi*" adj3 (severe or major)) OR ("anxiety" adj3 (severe or major)) ).ti,ab.</w:t>
      </w:r>
    </w:p>
    <w:p w14:paraId="6A8E53F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19 17 or 18 </w:t>
      </w:r>
    </w:p>
    <w:p w14:paraId="7138A85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20 13 or 16 or 19 </w:t>
      </w:r>
    </w:p>
    <w:p w14:paraId="259FCC02" w14:textId="17B6D604" w:rsidR="00BD1825" w:rsidRPr="00584BCB" w:rsidRDefault="00BD1825" w:rsidP="00BD1825">
      <w:pPr>
        <w:rPr>
          <w:rFonts w:ascii="Rubik" w:hAnsi="Rubik"/>
          <w:color w:val="000000" w:themeColor="text1"/>
          <w:sz w:val="22"/>
        </w:rPr>
      </w:pPr>
      <w:r w:rsidRPr="00584BCB">
        <w:rPr>
          <w:rFonts w:ascii="Rubik" w:hAnsi="Rubik"/>
          <w:color w:val="000000" w:themeColor="text1"/>
          <w:sz w:val="22"/>
        </w:rPr>
        <w:t>21 employment/ OR employment, supported/ OR </w:t>
      </w:r>
      <w:r w:rsidR="001007FB" w:rsidRPr="00584BCB">
        <w:rPr>
          <w:rFonts w:ascii="Rubik" w:hAnsi="Rubik"/>
          <w:color w:val="000000" w:themeColor="text1"/>
          <w:sz w:val="22"/>
        </w:rPr>
        <w:t>supported</w:t>
      </w:r>
      <w:r w:rsidRPr="00584BCB">
        <w:rPr>
          <w:rFonts w:ascii="Rubik" w:hAnsi="Rubik"/>
          <w:color w:val="000000" w:themeColor="text1"/>
          <w:sz w:val="22"/>
        </w:rPr>
        <w:t> workshops/ OR rehabilitation, vocational/ OR vocational education/ or vocational guidance/ or work/ or return to work/  </w:t>
      </w:r>
    </w:p>
    <w:p w14:paraId="7E62227E" w14:textId="2FB8FD0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22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w:t>
      </w:r>
      <w:r w:rsidRPr="00584BCB">
        <w:rPr>
          <w:rFonts w:ascii="Rubik" w:hAnsi="Rubik"/>
          <w:color w:val="000000" w:themeColor="text1"/>
          <w:sz w:val="22"/>
        </w:rPr>
        <w:lastRenderedPageBreak/>
        <w:t>enterprise*" OR "social enterprise*" OR "social firm*" OR "social cooperative*" OR "affirmative business*" OR "social purpose business*" or "vocational*" OR "prevocational" OR ((career or occupational) adj1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adj4 (mentor* OR training or placement* OR program or programme))).ti,ab.  </w:t>
      </w:r>
    </w:p>
    <w:p w14:paraId="15D23DB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23 21 or 22  </w:t>
      </w:r>
    </w:p>
    <w:p w14:paraId="3D95D4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24 10 AND 20 AND 23  </w:t>
      </w:r>
    </w:p>
    <w:p w14:paraId="380C796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25 limit 24 to (english language and yr="2010 -Current") [RCTs] </w:t>
      </w:r>
    </w:p>
    <w:p w14:paraId="5199BFE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26 cohort studies/ or follow-up studies/ or longitudinal studies/ or prospective studies/ or comparative study/ or controlled clinical trial/ or controlled before-after studies/  </w:t>
      </w:r>
    </w:p>
    <w:p w14:paraId="1264D5B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27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 xml:space="preserve">OR "before and after study" OR "cohort study" OR "comparative study" OR "intervention study" OR "longitudinal study" OR "follow-up study" OR matched OR "prospective study").ti,ab. </w:t>
      </w:r>
    </w:p>
    <w:p w14:paraId="4166C50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28 (clinical trial OR comparative study OR controlled clinical trial).pt. </w:t>
      </w:r>
    </w:p>
    <w:p w14:paraId="1EA1CD0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29 26 or 27 or 28 </w:t>
      </w:r>
    </w:p>
    <w:p w14:paraId="4043487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30 13 or 16</w:t>
      </w:r>
    </w:p>
    <w:p w14:paraId="703F6BD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31 29 AND 30 AND 23  </w:t>
      </w:r>
    </w:p>
    <w:p w14:paraId="4C19384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32 31 NOT 25 </w:t>
      </w:r>
    </w:p>
    <w:p w14:paraId="7E90CA8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33 limit 32 to (english language and yr="2010 -Current") [non-randomised studies only] </w:t>
      </w:r>
    </w:p>
    <w:p w14:paraId="13B70C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w:t>
      </w:r>
    </w:p>
    <w:p w14:paraId="706DAB66"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Embase </w:t>
      </w:r>
    </w:p>
    <w:p w14:paraId="3A55597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 (crossover* or "cross over*" or placebo* or (doubl* adj blind*) or allocat* or random*).ti,ab,ot.  </w:t>
      </w:r>
    </w:p>
    <w:p w14:paraId="7757374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 trial.ti.  </w:t>
      </w:r>
    </w:p>
    <w:p w14:paraId="67F065F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 crossover-procedure/ or double-blind procedure/ or single-blind procedure/ or randomized controlled trial/  </w:t>
      </w:r>
    </w:p>
    <w:p w14:paraId="0C84F0E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4 1 or 2 or 3</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{"citationID":"irHDRsCO","properties":{"formattedCitation":"\\super 48\\nosupersub{}","plainCitation":"48","noteIndex":0},"citationItems":[{"id":110120,"uris":["http://zotero.org/users/5729315/items/RCMHQH77"],"uri":["http://zotero.org/users/5729315/items/RCMHQH77"],"itemData":{"id":110120,"type":"article","note":"Lefebvre C, Glanville J, Briscoe S, Littlewood A,\nMarshall C, Metzendorf M-I, Noel-Storr A, Rader T, Shokraneh F, Thomas J, Wieland LS.\nTechnical Supplement to Chapter 4: Searching for and selecting studies. In: Higgins JPT,\nThomas J, Chandler J, Cumpston MS, Li T, Page MJ, Welch VA (eds). Cochrane Handbook for\nSystematic Reviews of Interventions Version 6. Cochrane, 2019. Available from:\nwww.training.cochrane.org/handbook.","publisher":"In: Higgins JPT, Thomas J, Chandler J, Cumpston MS, Li T, Page MJ, Welch VA (eds). Cochrane Handbook for Systematic Reviews of Interventions Version 6. Cochrane, 2019.","title":"Technical Supplement to Chapter 4: Searching for and selecting studies.","URL":"www.training.cochrane.org/handbook","author":[{"family":"Lefebvre","given":"C"},{"family":"Glanville","given":"J"},{"family":"Briscoe","given":"S"},{"family":"Littlewood","given":"A"},{"family":"Marshall","given":"C"},{"family":"Metzendorf","given":"M-I"},{"family":"Noel-Storr","given":"A"},{"family":"Rader","given":"T"},{"family":"Shokraneh","given":"F"},{"family":"Thomas","given":"J"},{"family":"Wieland","given":"LS"}]}}],"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48</w:t>
      </w:r>
      <w:r w:rsidRPr="00584BCB">
        <w:rPr>
          <w:rFonts w:ascii="Rubik" w:hAnsi="Rubik"/>
          <w:color w:val="000000" w:themeColor="text1"/>
          <w:sz w:val="22"/>
        </w:rPr>
        <w:fldChar w:fldCharType="end"/>
      </w:r>
      <w:r w:rsidRPr="00584BCB">
        <w:rPr>
          <w:rFonts w:ascii="Rubik" w:hAnsi="Rubik"/>
          <w:color w:val="000000" w:themeColor="text1"/>
          <w:sz w:val="22"/>
        </w:rPr>
        <w:t> </w:t>
      </w:r>
    </w:p>
    <w:p w14:paraId="63199F0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5 exp autism/ or ("autism spectrum disorder*" OR "autism" OR "autistic" OR "asperger*" OR "pervasive developmental disorder*").ti,ab. </w:t>
      </w:r>
    </w:p>
    <w:p w14:paraId="68F6F80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6 intellectual impairment/ or mental deficiency/ or down syndrome/ or x linked mental retardation/ or developmental disorder/ or mentally disabled persons/ or ("intellectual* disab*" OR "learning disab*" OR "developmental* disab*" OR "development* disorder*" OR "cognitive* disab*" OR "fragile x syndrome" OR "down* syndrome" OR "developmental delay*" OR "prader-willi syndrome" OR "fetal alcohol spectrum disorder*").ti,ab.   </w:t>
      </w:r>
    </w:p>
    <w:p w14:paraId="65971E7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7 mental disease/ or anxiety disorder/ or mood disorder/ or major affective disorder/ or affective psychosis/ or psychosis/ or schizophrenia spectrum </w:t>
      </w:r>
      <w:r w:rsidRPr="00584BCB">
        <w:rPr>
          <w:rFonts w:ascii="Rubik" w:hAnsi="Rubik"/>
          <w:color w:val="000000" w:themeColor="text1"/>
          <w:sz w:val="22"/>
        </w:rPr>
        <w:lastRenderedPageBreak/>
        <w:t>disorder/ or schizoaffective psychosis/ or bipolar disorder/ or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adj3 (severe or major)) OR ("depressi*" adj3 (severe or major)) OR ("anxiety" adj3 (severe or major)) ).ti,ab. </w:t>
      </w:r>
    </w:p>
    <w:p w14:paraId="7179360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8 5 or 6 or 7 </w:t>
      </w:r>
    </w:p>
    <w:p w14:paraId="521A0F6B" w14:textId="57ECC363" w:rsidR="00BD1825" w:rsidRPr="00584BCB" w:rsidRDefault="00BD1825" w:rsidP="00BD1825">
      <w:pPr>
        <w:rPr>
          <w:rFonts w:ascii="Rubik" w:hAnsi="Rubik"/>
          <w:color w:val="000000" w:themeColor="text1"/>
          <w:sz w:val="22"/>
        </w:rPr>
      </w:pPr>
      <w:r w:rsidRPr="00584BCB">
        <w:rPr>
          <w:rFonts w:ascii="Rubik" w:hAnsi="Rubik"/>
          <w:color w:val="000000" w:themeColor="text1"/>
          <w:sz w:val="22"/>
        </w:rPr>
        <w:t>9 employment/ or employment status/ or self-employment/ or supported employment/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 or permanent employment/ or temporary employment/ or full time employment/ or parttime employment/ or vocational rehabilitation/ or vocational education/ or vocational guidance/ or work capacity/ or return to work/ or work disability/ or work experience/ or work/ or work capacity/ or work environment/ or job accommodation/ or job experience/ or workplace/ or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adj1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adj4 (mentor* OR training or placement* OR program or programme))).ti,ab. </w:t>
      </w:r>
    </w:p>
    <w:p w14:paraId="4CCE5F4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10 4 and 8 and 9 </w:t>
      </w:r>
    </w:p>
    <w:p w14:paraId="242AE83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11 limit 10 to (english language and yr="2010 -Current" and article) [RCTs]</w:t>
      </w:r>
    </w:p>
    <w:p w14:paraId="1D1C28C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12 cohort analysis/ or follow up/ or longitudinal study/ or prospective study/ or intervention study/ or comparative study/ or controlled study/ or controlled clinical trial/ or pretest posttest control group design/ or experimental study/ or quasi experimental study/ </w:t>
      </w:r>
    </w:p>
    <w:p w14:paraId="5C55321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13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 xml:space="preserve">OR "before and after study" OR "cohort study" OR "comparative study" OR "intervention study" OR "longitudinal study" OR "follow-up study" OR matched OR "prospective study").ti,ab. </w:t>
      </w:r>
    </w:p>
    <w:p w14:paraId="4B70318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14 (clinical trial OR controlled clinical trial).ct. </w:t>
      </w:r>
    </w:p>
    <w:p w14:paraId="2A286A8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15 12 or 13 or 14</w:t>
      </w:r>
    </w:p>
    <w:p w14:paraId="6B8B5AC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16 5 or 6</w:t>
      </w:r>
    </w:p>
    <w:p w14:paraId="5C26D57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17 15 and 16 and 9</w:t>
      </w:r>
    </w:p>
    <w:p w14:paraId="58D9220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18 17 NOT 11</w:t>
      </w:r>
    </w:p>
    <w:p w14:paraId="1CFA7B6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19 limit 18 to (english language and yr="2010 -Current" and article)</w:t>
      </w:r>
      <w:r w:rsidRPr="00584BCB" w:rsidDel="00F80618">
        <w:rPr>
          <w:rFonts w:ascii="Rubik" w:hAnsi="Rubik"/>
          <w:color w:val="000000" w:themeColor="text1"/>
          <w:sz w:val="22"/>
        </w:rPr>
        <w:t xml:space="preserve"> </w:t>
      </w:r>
      <w:r w:rsidRPr="00584BCB">
        <w:rPr>
          <w:rFonts w:ascii="Rubik" w:hAnsi="Rubik"/>
          <w:color w:val="000000" w:themeColor="text1"/>
          <w:sz w:val="22"/>
        </w:rPr>
        <w:t>[non-randomised studies only] </w:t>
      </w:r>
    </w:p>
    <w:p w14:paraId="7B746870"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PsycINFO </w:t>
      </w:r>
    </w:p>
    <w:p w14:paraId="3BD78F9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 placebo/ </w:t>
      </w:r>
    </w:p>
    <w:p w14:paraId="57AD6ED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 follow up studies/ </w:t>
      </w:r>
    </w:p>
    <w:p w14:paraId="33825B7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lastRenderedPageBreak/>
        <w:t>3 placebo*.tw. </w:t>
      </w:r>
    </w:p>
    <w:p w14:paraId="2AFCB06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4 random*.tw. </w:t>
      </w:r>
    </w:p>
    <w:p w14:paraId="3B07A7F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5 comparative stud*.tw. </w:t>
      </w:r>
    </w:p>
    <w:p w14:paraId="2FC3C56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6 (clinical adj3 trial*).tw. </w:t>
      </w:r>
    </w:p>
    <w:p w14:paraId="047931B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7 (research adj3 design).tw. </w:t>
      </w:r>
    </w:p>
    <w:p w14:paraId="387470B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8 (evaluat* adj3 stud*).tw. </w:t>
      </w:r>
    </w:p>
    <w:p w14:paraId="66155B1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9 (prospectiv* adj3 stud*).tw. </w:t>
      </w:r>
    </w:p>
    <w:p w14:paraId="5C54AB8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10 ((singl* or doubl* or trebl* or tripl*) adj3 (blind* or mask*)).tw. </w:t>
      </w:r>
    </w:p>
    <w:p w14:paraId="3744D43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11 1 or 2 or 3 or 4 or 5 or 6 or 7 or 8 or 9 or 10</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{"citationID":"TovdZnrR","properties":{"formattedCitation":"\\super 49\\nosupersub{}","plainCitation":"49","noteIndex":0},"citationItems":[{"id":110121,"uris":["http://zotero.org/users/5729315/items/MMTWSDP3"],"uri":["http://zotero.org/users/5729315/items/MMTWSDP3"],"itemData":{"id":110121,"type":"article-journal","container-title":"British Journal of Medical Psychology","journalAbbreviation":"British Journal of Medical Psychology","page":"535-542","title":"Identifying randomized controlled trials of cognitive therapy for depression: comparing the efficiency of Embase, Medline and PsycINFO bibliographic databases","volume":"72","author":[{"family":"Watson","given":"RJ"},{"family":"Richardson","given":"PH"}],"issued":{"date-parts":[["1999"]]}}}],"schema":"https://github.com/citation-style-language/schema/raw/master/csl-citation.json"}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49</w:t>
      </w:r>
      <w:r w:rsidRPr="00584BCB">
        <w:rPr>
          <w:rFonts w:ascii="Rubik" w:hAnsi="Rubik"/>
          <w:color w:val="000000" w:themeColor="text1"/>
          <w:sz w:val="22"/>
        </w:rPr>
        <w:fldChar w:fldCharType="end"/>
      </w:r>
      <w:r w:rsidRPr="00584BCB">
        <w:rPr>
          <w:rFonts w:ascii="Rubik" w:hAnsi="Rubik"/>
          <w:color w:val="000000" w:themeColor="text1"/>
          <w:sz w:val="22"/>
        </w:rPr>
        <w:t> </w:t>
      </w:r>
    </w:p>
    <w:p w14:paraId="668D7BE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12 autism spectrum disorders/  </w:t>
      </w:r>
    </w:p>
    <w:p w14:paraId="5CD7ECF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13 ("autism spectrum disorder*" OR "autism" OR "autistic" OR "asperger*" OR "pervasive developmental disorder*").ti,ab. </w:t>
      </w:r>
    </w:p>
    <w:p w14:paraId="62A9BC14" w14:textId="067133B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14 intellectual development disorder/ or down's syndrome/ or cognitive impairment/ or developmental </w:t>
      </w:r>
      <w:r w:rsidR="000823D5" w:rsidRPr="00584BCB">
        <w:rPr>
          <w:rFonts w:ascii="Rubik" w:hAnsi="Rubik"/>
          <w:color w:val="000000" w:themeColor="text1"/>
          <w:sz w:val="22"/>
        </w:rPr>
        <w:t>disability</w:t>
      </w:r>
      <w:r w:rsidRPr="00584BCB">
        <w:rPr>
          <w:rFonts w:ascii="Rubik" w:hAnsi="Rubik"/>
          <w:color w:val="000000" w:themeColor="text1"/>
          <w:sz w:val="22"/>
        </w:rPr>
        <w:t>/ or fetal alcohol syndrome/ or fragile x syndrome/ or prader willi syndrome/  </w:t>
      </w:r>
    </w:p>
    <w:p w14:paraId="24A1460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15 ("intellectual* disab*" OR "learning disab*" OR "developmental* disab*" OR "development* disorder*" OR "cognitive* disab*" OR "fragile x syndrome" OR "down* syndrome" OR "developmental delay*" OR "prader-willi syndrome" OR "fetal alcohol spectrum disorder*").ti,ab.   </w:t>
      </w:r>
    </w:p>
    <w:p w14:paraId="5A0735B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16 mental disorders/ or affective disorders/ or anxiety disorders/ or bipolar disorder/ or chronic mental illness/ or psychosis/ or serious mental illness/ or major depression/ or affective psychosis/ or schizophrenia/ or schizoaffective disorder/ </w:t>
      </w:r>
    </w:p>
    <w:p w14:paraId="61A4341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17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adj3 (severe or major)) OR ("depressi*" adj3 (severe or major)) OR ("anxiety" adj3 (severe or major)) ).ti,ab.</w:t>
      </w:r>
    </w:p>
    <w:p w14:paraId="736E962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18 12 or 13 or 14 or 15 or 16 or 17 </w:t>
      </w:r>
    </w:p>
    <w:p w14:paraId="7482C9BA" w14:textId="7AF0749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19 employment status/ or employability/ or reemployment/ or self-employment/ or employee skills/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workshops/ or exp vocational rehabilitation/ or school to work transition/ or occupational guidance/ or exp vocational education/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workshops/ or job search/ or job experience level/ or labor market/ or career development/ or job applicant interviews/ or occupational adjustment/ </w:t>
      </w:r>
    </w:p>
    <w:p w14:paraId="5881DF14" w14:textId="568142C9" w:rsidR="00BD1825" w:rsidRPr="00584BCB" w:rsidRDefault="00BD1825" w:rsidP="00BD1825">
      <w:pPr>
        <w:rPr>
          <w:rFonts w:ascii="Rubik" w:hAnsi="Rubik"/>
          <w:color w:val="000000" w:themeColor="text1"/>
          <w:sz w:val="22"/>
        </w:rPr>
      </w:pPr>
      <w:r w:rsidRPr="00584BCB">
        <w:rPr>
          <w:rFonts w:ascii="Rubik" w:hAnsi="Rubik"/>
          <w:color w:val="000000" w:themeColor="text1"/>
          <w:sz w:val="22"/>
        </w:rPr>
        <w:t>20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adj1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w:t>
      </w:r>
      <w:r w:rsidRPr="00584BCB">
        <w:rPr>
          <w:rFonts w:ascii="Rubik" w:hAnsi="Rubik"/>
          <w:color w:val="000000" w:themeColor="text1"/>
          <w:sz w:val="22"/>
        </w:rPr>
        <w:lastRenderedPageBreak/>
        <w:t>search*" OR ((job OR work or workplace) adj4 (mentor* OR training or placement* OR program or programme))).ti,ab. </w:t>
      </w:r>
    </w:p>
    <w:p w14:paraId="0957DB8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21 19 or 20 </w:t>
      </w:r>
    </w:p>
    <w:p w14:paraId="0A8CCA8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22 11 AND 18 AND 21  </w:t>
      </w:r>
    </w:p>
    <w:p w14:paraId="5641FDF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23 limit 22 to (english language and journal article and yr="2010 -Current") [RCTs]</w:t>
      </w:r>
    </w:p>
    <w:p w14:paraId="3CB81E8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24 experimental design/ or clinical trials/ or cohort analysis/ or followup studies/ or longitudinal studies/ or experiment controls/ or experimental methods/ or quasi experimental methods/ </w:t>
      </w:r>
    </w:p>
    <w:p w14:paraId="7E7722C9"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25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OR "before and after study" OR "cohort study" OR "comparative study" OR "intervention study" OR "longitudinal study" OR "follow-up study" OR matched OR "prospective study").ti,ab.</w:t>
      </w:r>
    </w:p>
    <w:p w14:paraId="3B7E76C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26 24 or 25  </w:t>
      </w:r>
    </w:p>
    <w:p w14:paraId="7D9E75C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27 12 or 13 or 14 or 15 </w:t>
      </w:r>
    </w:p>
    <w:p w14:paraId="4319E8F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28 26 and 27 and 21 </w:t>
      </w:r>
    </w:p>
    <w:p w14:paraId="540B9EF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29 28 NOT 23</w:t>
      </w:r>
    </w:p>
    <w:p w14:paraId="5CDDD23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30 limit 29 to (english language and journal article and yr="2010 -Current") [non-randomised studies only]</w:t>
      </w:r>
    </w:p>
    <w:p w14:paraId="5E008FEF" w14:textId="6D9C5282" w:rsidR="00BD1825" w:rsidRPr="00584BCB" w:rsidRDefault="00BD1825" w:rsidP="0063063A">
      <w:pPr>
        <w:rPr>
          <w:rFonts w:ascii="Rubik" w:hAnsi="Rubik"/>
          <w:b/>
          <w:bCs/>
          <w:color w:val="000000" w:themeColor="text1"/>
          <w:sz w:val="22"/>
          <w:lang w:val="it-IT"/>
        </w:rPr>
      </w:pPr>
      <w:r w:rsidRPr="00584BCB">
        <w:rPr>
          <w:rFonts w:ascii="Rubik" w:hAnsi="Rubik"/>
          <w:b/>
          <w:bCs/>
          <w:color w:val="000000" w:themeColor="text1"/>
          <w:sz w:val="22"/>
          <w:lang w:val="it-IT"/>
        </w:rPr>
        <w:t>Web of Science</w:t>
      </w:r>
    </w:p>
    <w:p w14:paraId="569E9AAA" w14:textId="77777777"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lang w:val="it-IT"/>
        </w:rPr>
        <w:t>1 TI= ( randomi*ed ) </w:t>
      </w:r>
    </w:p>
    <w:p w14:paraId="1DA0599B" w14:textId="77777777"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lang w:val="it-IT"/>
        </w:rPr>
        <w:t>2 AB= ( randomi*ed ) </w:t>
      </w:r>
    </w:p>
    <w:p w14:paraId="2B9A4DB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 AB= ( placebo ) </w:t>
      </w:r>
    </w:p>
    <w:p w14:paraId="59A497C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4 AB= (randomly ) </w:t>
      </w:r>
    </w:p>
    <w:p w14:paraId="1A60C5B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5 TI= ( trial ) </w:t>
      </w:r>
    </w:p>
    <w:p w14:paraId="0D8E4F2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6 1 or 2 or 3 or 4 or 5 </w:t>
      </w:r>
    </w:p>
    <w:p w14:paraId="277E87A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7 TS=("autism spectrum disorder*" OR "autism" OR "autistic" OR "asperger*" OR "pervasive developmental disorder*") </w:t>
      </w:r>
    </w:p>
    <w:p w14:paraId="3C278D6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8 TS=("intellectual* disab*" OR "learning disab*" OR "developmental* disab*" OR "development* disorder*" OR "cognitive* disab*" OR "fragile x syndrome" OR "down* syndrome" OR "developmental delay*" OR "prader-willi syndrome" OR "fetal alcohol spectrum disorder*") </w:t>
      </w:r>
    </w:p>
    <w:p w14:paraId="5469746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9 TS=("psychosocial*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NEAR/2 (severe or major)) OR ("depressi*" NEAR/2 (severe or major)) OR ("anxiety" NEAR/2 (severe or major)) ) </w:t>
      </w:r>
    </w:p>
    <w:p w14:paraId="6CA44DA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10 7 or 8 or 9 </w:t>
      </w:r>
    </w:p>
    <w:p w14:paraId="76446B50" w14:textId="7335238E" w:rsidR="00BD1825" w:rsidRPr="00584BCB" w:rsidRDefault="00BD1825" w:rsidP="00BD1825">
      <w:pPr>
        <w:rPr>
          <w:rFonts w:ascii="Rubik" w:hAnsi="Rubik"/>
          <w:color w:val="000000" w:themeColor="text1"/>
          <w:sz w:val="22"/>
        </w:rPr>
      </w:pPr>
      <w:r w:rsidRPr="00584BCB">
        <w:rPr>
          <w:rFonts w:ascii="Rubik" w:hAnsi="Rubik"/>
          <w:color w:val="000000" w:themeColor="text1"/>
          <w:sz w:val="22"/>
        </w:rPr>
        <w:t>11 TS=("employment"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w:t>
      </w:r>
      <w:r w:rsidRPr="00584BCB">
        <w:rPr>
          <w:rFonts w:ascii="Rubik" w:hAnsi="Rubik"/>
          <w:color w:val="000000" w:themeColor="text1"/>
          <w:sz w:val="22"/>
        </w:rPr>
        <w:lastRenderedPageBreak/>
        <w:t>OR "disability enterprise*" OR "social enterprise*" OR "social firm*" OR "social cooperative*" OR "affirmative business*" OR "social purpose business*" or "vocational*" OR "prevocational" OR ((career or occupational) NEAR/0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NEAR/3 (mentor* OR training or placement* OR program or programme))) </w:t>
      </w:r>
    </w:p>
    <w:p w14:paraId="39D5E64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12 6 and 10 and 11 AND LANGUAGE: (English) AND DOCUMENT TYPES: (Article)  </w:t>
      </w:r>
    </w:p>
    <w:p w14:paraId="5DF11D1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Refined by: PUBLICATION YEARS: ( 2020 OR 2012 OR 2019 OR 2011 OR 2018 OR 2010 OR 2017 OR 2016 OR 2015 OR 2014 OR 2013 ) [RCTs] </w:t>
      </w:r>
    </w:p>
    <w:p w14:paraId="05F6FF7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13 TS=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OR "before and after study" OR "cohort study" OR "comparative study" OR "intervention study" OR "longitudinal study" OR "follow-up study" OR matched OR "prospective study")</w:t>
      </w:r>
    </w:p>
    <w:p w14:paraId="6FB40DF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14 7 or 8 </w:t>
      </w:r>
    </w:p>
    <w:p w14:paraId="698989D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15 13 and 14 and 11</w:t>
      </w:r>
    </w:p>
    <w:p w14:paraId="5C7AACF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16 15 NOT 12 AND LANGUAGE: (English) AND DOCUMENT TYPES: (Article)  </w:t>
      </w:r>
    </w:p>
    <w:p w14:paraId="6949623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Refined by: PUBLICATION YEARS: ( 2020 OR 2012 OR 2019 OR 2011 OR 2018 OR 2010 OR 2017 OR 2016 OR 2015 OR 2014 OR 2013 ) [non-randomised studies only] </w:t>
      </w:r>
    </w:p>
    <w:p w14:paraId="2150416E" w14:textId="16533804" w:rsidR="00BD1825" w:rsidRPr="00584BCB" w:rsidRDefault="00BD1825" w:rsidP="0063063A">
      <w:pPr>
        <w:rPr>
          <w:rFonts w:ascii="Rubik" w:hAnsi="Rubik"/>
          <w:b/>
          <w:bCs/>
          <w:color w:val="000000" w:themeColor="text1"/>
          <w:sz w:val="22"/>
          <w:lang w:val="it-IT"/>
        </w:rPr>
      </w:pPr>
      <w:r w:rsidRPr="00584BCB">
        <w:rPr>
          <w:rFonts w:ascii="Rubik" w:hAnsi="Rubik"/>
          <w:b/>
          <w:bCs/>
          <w:color w:val="000000" w:themeColor="text1"/>
          <w:sz w:val="22"/>
          <w:lang w:val="it-IT"/>
        </w:rPr>
        <w:t xml:space="preserve">SCOPUS </w:t>
      </w:r>
    </w:p>
    <w:p w14:paraId="1EEADE1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 TITLE-ABS ( randomi*ed ) </w:t>
      </w:r>
    </w:p>
    <w:p w14:paraId="335817D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2 ABS ( placebo ) </w:t>
      </w:r>
    </w:p>
    <w:p w14:paraId="55975F0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3 ABS (randomly ) </w:t>
      </w:r>
    </w:p>
    <w:p w14:paraId="2B24A9A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4 TITLE ( trial ) </w:t>
      </w:r>
    </w:p>
    <w:p w14:paraId="388CD13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5 1 or 2 or 3 or 4  </w:t>
      </w:r>
    </w:p>
    <w:p w14:paraId="0D43269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6 TITLE-ABS ("autism spectrum disorder*" OR "autism" OR "autistic" OR "asperger*" OR "pervasive developmental disorder*") </w:t>
      </w:r>
    </w:p>
    <w:p w14:paraId="642D23A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7 TITLE-ABS ("intellectual* disab*" OR "learning disab*" OR "developmental* disab*" OR "development* disorder*" OR "cognitive* disab*" OR "fragile x syndrome" OR "down* syndrome" OR "developmental delay*" OR "prader-willi syndrome" OR "fetal alcohol spectrum disorder*") </w:t>
      </w:r>
    </w:p>
    <w:p w14:paraId="32BCEC7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8 TITLE-ABS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W/2 (severe or major)) OR ("depressi*" W/2 (severe or major)) OR ("anxiety" W/2 (severe or major)) )</w:t>
      </w:r>
    </w:p>
    <w:p w14:paraId="14C7AF2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9 11 or 12 or 13 </w:t>
      </w:r>
    </w:p>
    <w:p w14:paraId="4B97278F" w14:textId="57CFB31D" w:rsidR="00BD1825" w:rsidRPr="00584BCB" w:rsidRDefault="00BD1825" w:rsidP="00BD1825">
      <w:pPr>
        <w:rPr>
          <w:rFonts w:ascii="Rubik" w:hAnsi="Rubik"/>
          <w:color w:val="000000" w:themeColor="text1"/>
          <w:sz w:val="22"/>
        </w:rPr>
      </w:pPr>
      <w:r w:rsidRPr="00584BCB">
        <w:rPr>
          <w:rFonts w:ascii="Rubik" w:hAnsi="Rubik"/>
          <w:color w:val="000000" w:themeColor="text1"/>
          <w:sz w:val="22"/>
        </w:rPr>
        <w:t>10 TITLE-ABS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w:t>
      </w:r>
      <w:r w:rsidRPr="00584BCB">
        <w:rPr>
          <w:rFonts w:ascii="Rubik" w:hAnsi="Rubik"/>
          <w:color w:val="000000" w:themeColor="text1"/>
          <w:sz w:val="22"/>
        </w:rPr>
        <w:lastRenderedPageBreak/>
        <w:t>"affirmative business*" OR "social purpose business*" or "vocational*" OR "prevocational" OR ((career or occupational) W/0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W/3 (mentor* OR training or placement* OR program or programme)))</w:t>
      </w:r>
    </w:p>
    <w:p w14:paraId="00D5823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11 5 AND 9 AND 10 AND ( LIMIT-TO ( PUBYEAR ,  2020 )  OR  LIMIT-TO ( PUBYEAR ,  2019 )  OR  LIMIT-TO ( PUBYEAR ,  2018 )  OR  LIMIT-TO ( PUBYEAR ,  2017 )  OR  LIMIT-TO ( PUBYEAR ,  2016 )  OR  LIMIT-TO ( PUBYEAR ,  2015 )  OR  LIMIT-TO ( PUBYEAR ,  2014 )  OR  LIMIT-TO ( PUBYEAR ,  2013 )  OR  LIMIT-TO ( PUBYEAR ,  2012 )  OR  LIMIT-TO ( PUBYEAR ,  2011 )  OR  LIMIT-TO ( PUBYEAR ,  2010 ) )  AND  ( LIMIT-TO ( DOCTYPE ,  "ar" ) )  AND  ( LIMIT-TO ( LANGUAGE ,  "English" ) ) [RCTs] </w:t>
      </w:r>
    </w:p>
    <w:p w14:paraId="19F1A66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12 TITLE-ABS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OR "before and after study" OR "cohort study" OR "comparative study" OR "intervention study" OR "longitudinal study" OR "follow-up study" OR matched OR "prospective study")</w:t>
      </w:r>
    </w:p>
    <w:p w14:paraId="668A04F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13 6 or 7</w:t>
      </w:r>
    </w:p>
    <w:p w14:paraId="57ECDED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14 12 AND 13 AND 10</w:t>
      </w:r>
    </w:p>
    <w:p w14:paraId="352CD5B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15 14 NOT 11 AND ( LIMIT-TO ( PUBYEAR ,  2020 )  OR  LIMIT-TO ( PUBYEAR ,  2019 )  OR  LIMIT-TO ( PUBYEAR ,  2018 )  OR  LIMIT-TO ( PUBYEAR ,  2017 )  OR  LIMIT-TO ( PUBYEAR ,  2016 )  OR  LIMIT-TO ( PUBYEAR ,  2015 )  OR  LIMIT-TO ( PUBYEAR ,  2014 )  OR  LIMIT-TO ( PUBYEAR ,  2013 )  OR  LIMIT-TO ( PUBYEAR ,  2012 )  OR  LIMIT-TO ( PUBYEAR ,  2011 )  OR  LIMIT-TO ( PUBYEAR ,  2010 ) )  AND  ( LIMIT-TO ( DOCTYPE ,  "ar" ) )  AND  ( LIMIT-TO ( LANGUAGE ,  "English" ) ) [non-randomised studies only] </w:t>
      </w:r>
    </w:p>
    <w:p w14:paraId="56B2DFF8" w14:textId="77777777" w:rsidR="00BD1825" w:rsidRPr="00584BCB" w:rsidRDefault="00BD1825" w:rsidP="00BD1825">
      <w:pPr>
        <w:rPr>
          <w:rFonts w:ascii="Rubik" w:hAnsi="Rubik"/>
          <w:b/>
          <w:bCs/>
          <w:color w:val="000000" w:themeColor="text1"/>
          <w:sz w:val="22"/>
        </w:rPr>
      </w:pPr>
      <w:r w:rsidRPr="00584BCB">
        <w:rPr>
          <w:rFonts w:ascii="Rubik" w:hAnsi="Rubik"/>
          <w:b/>
          <w:bCs/>
          <w:color w:val="000000" w:themeColor="text1"/>
          <w:sz w:val="22"/>
        </w:rPr>
        <w:t>CINAHL  </w:t>
      </w:r>
    </w:p>
    <w:p w14:paraId="27470F2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 MH randomized controlled trials  </w:t>
      </w:r>
    </w:p>
    <w:p w14:paraId="6C1E024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 MH double-blind studies </w:t>
      </w:r>
    </w:p>
    <w:p w14:paraId="5649F18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 MH single-blind studies </w:t>
      </w:r>
    </w:p>
    <w:p w14:paraId="6DC28CA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 MH random assignment </w:t>
      </w:r>
    </w:p>
    <w:p w14:paraId="5B9A8B4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S5 MH pretest-posttest design </w:t>
      </w:r>
    </w:p>
    <w:p w14:paraId="52DE0E0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S6 MH cluster sample </w:t>
      </w:r>
    </w:p>
    <w:p w14:paraId="2BCC868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S7 TI (randomised OR randomized) </w:t>
      </w:r>
    </w:p>
    <w:p w14:paraId="605178B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S8 AB (random*) </w:t>
      </w:r>
    </w:p>
    <w:p w14:paraId="309069C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S9 TI (trial) </w:t>
      </w:r>
    </w:p>
    <w:p w14:paraId="2F37EA9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S10 MH (sample size) AND AB (assigned OR allocated OR control) </w:t>
      </w:r>
    </w:p>
    <w:p w14:paraId="0F2E714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S11 MH (placebos) </w:t>
      </w:r>
    </w:p>
    <w:p w14:paraId="03BC77E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S12 PT (randomized controlled trial) </w:t>
      </w:r>
    </w:p>
    <w:p w14:paraId="70509AD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S13 AB (CONTROL W5 GROUP) </w:t>
      </w:r>
    </w:p>
    <w:p w14:paraId="5F51976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S14 MH (CROSSOVER DESIGN) OR MH (COMPARATIVE STUDIES) </w:t>
      </w:r>
    </w:p>
    <w:p w14:paraId="582A2E2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lastRenderedPageBreak/>
        <w:t>S15 AB (CLUSTER W3 RCT) </w:t>
      </w:r>
    </w:p>
    <w:p w14:paraId="6539389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S16 MH ANIMALS+ </w:t>
      </w:r>
    </w:p>
    <w:p w14:paraId="5F3C584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SS17 MH (ANIMAL STUDIES) </w:t>
      </w:r>
    </w:p>
    <w:p w14:paraId="2912DBA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S18 TI (ANIMAL MODEL*) </w:t>
      </w:r>
    </w:p>
    <w:p w14:paraId="5381834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S19 S16 OR S17 OR S18 </w:t>
      </w:r>
    </w:p>
    <w:p w14:paraId="2A967DC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S20 MH (HUMAN) </w:t>
      </w:r>
    </w:p>
    <w:p w14:paraId="6A63471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S21 S19 NOT S20 </w:t>
      </w:r>
    </w:p>
    <w:p w14:paraId="7DAAAE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S22 S1 OR S2 OR S3 OR S4 OR S5 OR S6 OR S7 OR S8 OR S9 OR S10 OR S11 OR S12 OR S13 OR S14 OR S15</w:t>
      </w:r>
    </w:p>
    <w:p w14:paraId="17FBBF4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S23 S22 NOT S21</w:t>
      </w:r>
      <w:r w:rsidRPr="00584BCB">
        <w:rPr>
          <w:rFonts w:ascii="Rubik" w:hAnsi="Rubik"/>
          <w:color w:val="000000" w:themeColor="text1"/>
          <w:sz w:val="22"/>
        </w:rPr>
        <w:fldChar w:fldCharType="begin"/>
      </w:r>
      <w:r w:rsidRPr="00584BCB">
        <w:rPr>
          <w:rFonts w:ascii="Rubik" w:hAnsi="Rubik"/>
          <w:color w:val="000000" w:themeColor="text1"/>
          <w:sz w:val="22"/>
        </w:rPr>
        <w:instrText xml:space="preserve"> ADDIN ZOTERO_ITEM CSL_CITATION {"citationID":"wsFP2jFD","properties":{"formattedCitation":"\\super 50\\nosupersub{}","plainCitation":"50","noteIndex":0},"citationItems":[{"id":110123,"uris":["http://zotero.org/users/5729315/items/KYTXPYWE"],"uri":["http://zotero.org/users/5729315/items/KYTXPYWE"],"itemData":{"id":110123,"type":"article-journal","abstract":"Background Evidence synthesis reviews in health care rely on the efficient identification of research evidence, particularly evidence from randomised controlled trials (RCTs). There are no recently validated filters to identify RCTs in the Cumulative Index to Nursing and Allied Health Literature (CINAHL Plus). Objectives To develop, test and validate a search filter to identify reports of RCTs from CINAHL Plus. Methods Nine sets of relevant and irrelevant records were identified to develop and test search filters iteratively. Two sets were used to validate the sensitivity and precision of the filters. The performance of two previously published filters and the filter built into EBSCOhost was evaluated. Results We present a validated filter which offers sensitivity of 0.88 (95% CI: 0.77–0.95) and precision of 0.36 (95% CI: 0.31–0.41). This is comparable to the sensitivity of published filters, but has much better precision. Conclusions A sensitive and precise filter, developed using records selected based on title and abstract information, is available for identifying reports of RCTs in the CINAHL Plus database via EBSCOhost. Using this filter is likely to reduce the number of results needing to be screened to a quarter of those retrieved by other published filters.","container-title":"Health Information &amp; Libraries Journal","DOI":"https://doi.org/10.1111/hir.12251","ISSN":"1471-1842","issue":"1","language":"en","note":"_eprint: https://onlinelibrary.wiley.com/doi/pdf/10.1111/hir.12251","page":"73-90","source":"Wiley Online Library","title":"Development of a search filter to identify reports of controlled clinical trials within CINAHL Plus","volume":"36","author":[{"family":"Glanville","given":"Julie"},{"family":"Dooley","given":"Gordon"},{"family":"Wisniewski","given":"Susi"},{"family":"Foxlee","given":"Ruth"},{"family":"Noel</w:instrText>
      </w:r>
      <w:r w:rsidRPr="00584BCB">
        <w:rPr>
          <w:rFonts w:ascii="Cambria Math" w:hAnsi="Cambria Math" w:cs="Cambria Math"/>
          <w:color w:val="000000" w:themeColor="text1"/>
          <w:sz w:val="22"/>
        </w:rPr>
        <w:instrText>‐</w:instrText>
      </w:r>
      <w:r w:rsidRPr="00584BCB">
        <w:rPr>
          <w:rFonts w:ascii="Rubik" w:hAnsi="Rubik"/>
          <w:color w:val="000000" w:themeColor="text1"/>
          <w:sz w:val="22"/>
        </w:rPr>
        <w:instrText xml:space="preserve">Storr","given":"Anna"}],"issued":{"date-parts":[["2019"]]}}}],"schema":"https://github.com/citation-style-language/schema/raw/master/csl-citation.json"} </w:instrText>
      </w:r>
      <w:r w:rsidRPr="00584BCB">
        <w:rPr>
          <w:rFonts w:ascii="Rubik" w:hAnsi="Rubik"/>
          <w:color w:val="000000" w:themeColor="text1"/>
          <w:sz w:val="22"/>
        </w:rPr>
        <w:fldChar w:fldCharType="separate"/>
      </w:r>
      <w:r w:rsidRPr="00584BCB">
        <w:rPr>
          <w:rFonts w:ascii="Rubik" w:hAnsi="Rubik"/>
          <w:color w:val="000000" w:themeColor="text1"/>
          <w:sz w:val="22"/>
        </w:rPr>
        <w:t>50</w:t>
      </w:r>
      <w:r w:rsidRPr="00584BCB">
        <w:rPr>
          <w:rFonts w:ascii="Rubik" w:hAnsi="Rubik"/>
          <w:color w:val="000000" w:themeColor="text1"/>
          <w:sz w:val="22"/>
        </w:rPr>
        <w:fldChar w:fldCharType="end"/>
      </w:r>
      <w:r w:rsidRPr="00584BCB">
        <w:rPr>
          <w:rFonts w:ascii="Rubik" w:hAnsi="Rubik"/>
          <w:color w:val="000000" w:themeColor="text1"/>
          <w:sz w:val="22"/>
        </w:rPr>
        <w:t> </w:t>
      </w:r>
    </w:p>
    <w:p w14:paraId="2FE4A7B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S24 (MH "Pervasive Developmental Disorder-Not Otherwise Specified") OR (MH "Asperger Syndrome") OR (MH "Autistic Disorder") OR (MH "Child Development Disorders, Pervasive")  </w:t>
      </w:r>
    </w:p>
    <w:p w14:paraId="7203949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S25 TI ("autism spectrum disorder*" OR "autism" OR "autistic" OR "asperger*" OR "pervasive developmental disorder*") </w:t>
      </w:r>
    </w:p>
    <w:p w14:paraId="0E682EA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S26 AB ("autism spectrum disorder*" OR "autism" OR "autistic" OR "asperger*" OR "pervasive developmental disorder*") </w:t>
      </w:r>
    </w:p>
    <w:p w14:paraId="4DD2E01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S27 S24 or S25 or S26 </w:t>
      </w:r>
    </w:p>
    <w:p w14:paraId="2DEB8BE7" w14:textId="1ABBE421"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S28 (MH "Developmental </w:t>
      </w:r>
      <w:r w:rsidR="000823D5" w:rsidRPr="00584BCB">
        <w:rPr>
          <w:rFonts w:ascii="Rubik" w:hAnsi="Rubik"/>
          <w:color w:val="000000" w:themeColor="text1"/>
          <w:sz w:val="22"/>
        </w:rPr>
        <w:t>Disability</w:t>
      </w:r>
      <w:r w:rsidRPr="00584BCB">
        <w:rPr>
          <w:rFonts w:ascii="Rubik" w:hAnsi="Rubik"/>
          <w:color w:val="000000" w:themeColor="text1"/>
          <w:sz w:val="22"/>
        </w:rPr>
        <w:t>") OR (MH "Intellectual Disability") OR (MH "Down Syndrome") OR (MH "Prader-Willi Syndrome") OR (MH "Mental Retardation, X-Linked") OR (MH "Fragile X Syndrome") OR (MH "Mentally Disabled Persons")   </w:t>
      </w:r>
    </w:p>
    <w:p w14:paraId="4062E39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S29 TI ("intellectual* disab*" OR "learning disab*" OR "developmental* disab*" OR "development* disorder*" OR "cognitive* disab*" OR "fragile x syndrome" OR "down* syndrome" OR "developmental delay*" OR "prader-willi syndrome" OR "fetal alcohol spectrum disorder*") </w:t>
      </w:r>
    </w:p>
    <w:p w14:paraId="2CC1634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S30 AB ("intellectual* disab*" OR "learning disab*" OR "developmental* disab*" OR "development* disorder*" OR "cognitive* disab*" OR "fragile x syndrome" OR "down* syndrome" OR "developmental delay*" OR "prader-willi syndrome" OR "fetal alcohol spectrum disorder*") </w:t>
      </w:r>
    </w:p>
    <w:p w14:paraId="1209A13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S31 S28 or S29 or S30 </w:t>
      </w:r>
    </w:p>
    <w:p w14:paraId="1679697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S32 (MH "Mental Disorders") OR (MH "Mental Disorders, Chronic") OR (MH "Psychotic Disorders") OR (MH "Schizophrenia") OR (MH "Schizoaffective Disorder") OR (MH "Affective Disorders, Psychotic") OR (MH "Bipolar Disorder") OR (MH "Personality Disorders") OR (MH "Neurotic Disorders") OR (MH "Anxiety Disorders") OR (MH "Affective Disorders") OR (MH "Depression") OR (MH "Stress Disorders, Post-Traumatic")  </w:t>
      </w:r>
    </w:p>
    <w:p w14:paraId="4AD0729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S33 TI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N2 (severe or major)) OR ("depressi*" N2 (severe or major)) OR ("anxiety" N2 (severe or major)) )</w:t>
      </w:r>
    </w:p>
    <w:p w14:paraId="39C9F68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S34 AB ("psychosocial* disab*" OR "severe mental illness*" OR "serious mental illness*" OR "severe mental health" OR "serious mental health" OR "psychiatric disorder*" OR "psychiatric </w:t>
      </w:r>
      <w:r w:rsidRPr="00584BCB">
        <w:rPr>
          <w:rFonts w:ascii="Rubik" w:hAnsi="Rubik"/>
          <w:color w:val="000000" w:themeColor="text1"/>
          <w:sz w:val="22"/>
        </w:rPr>
        <w:lastRenderedPageBreak/>
        <w:t>illness*" OR "psychiatric condition*" OR "psychiatric* disab*" OR "schizophrenia" OR "schizoaffective" OR "schizo affective" OR "psychosis" OR "psychoses" OR "psychotic" OR "bipolar" OR ("affective disorder*" N2 (severe or major)) OR ("depressi*" N2 (severe or major)) OR ("anxiety" N2 (severe or major)) )</w:t>
      </w:r>
    </w:p>
    <w:p w14:paraId="140499A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S35 S32 or S33 or S34 </w:t>
      </w:r>
    </w:p>
    <w:p w14:paraId="0F875D0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S36 S27 or S31 or S35 </w:t>
      </w:r>
    </w:p>
    <w:p w14:paraId="5707D830" w14:textId="567C2CF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S37 (MH "Employment") (MH "Job Interviews") OR (MH "Job Re-Entry") OR (MH "Employment Status") OR (MH "Self Employment") OR MH "Employment of Disabled+") OR (MH "Vocational Education") OR (MH "Rehabilitation, Vocational") OR (MH "Vocational Guidance") OR (MH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Workshops") OR (MH "Job Experience") OR (MH "Work")  </w:t>
      </w:r>
    </w:p>
    <w:p w14:paraId="62FD87B2" w14:textId="4C759749"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S38 TI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 </w:t>
      </w:r>
    </w:p>
    <w:p w14:paraId="334BA4D6" w14:textId="7E893512"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S39 AB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 </w:t>
      </w:r>
    </w:p>
    <w:p w14:paraId="77FF722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S40 S37 or S38 or S39 </w:t>
      </w:r>
    </w:p>
    <w:p w14:paraId="1DCBBFF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S41 S23 AND S36 AND S40  </w:t>
      </w:r>
    </w:p>
    <w:p w14:paraId="2C8FAF8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Limiters - Published Date: 20100101-; English Language [RCTs]</w:t>
      </w:r>
    </w:p>
    <w:p w14:paraId="1F4CED17"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S42 (MH "Prospective Studies+") OR (MH "Quasi-Experimental Studies+") OR (MH "Crossover Design") OR (MH "Experimental Studies") OR (MH "Clinical Trials") OR (MH "Controlled Before-After Studies") OR (MH "Pretest-Posttest Design+") OR (MH "Nonrandomized Trials") OR (MH "Intervention Trials") </w:t>
      </w:r>
    </w:p>
    <w:p w14:paraId="65303D2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S43 TI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OR "before and after study" OR "cohort study" OR "comparative study" OR "intervention study" OR "longitudinal study" OR "follow-up study" OR matched OR "prospective study")</w:t>
      </w:r>
    </w:p>
    <w:p w14:paraId="06A805E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S44 AB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 xml:space="preserve">OR "before and after study" OR "cohort study" OR "comparative study" OR </w:t>
      </w:r>
      <w:r w:rsidRPr="00584BCB">
        <w:rPr>
          <w:rFonts w:ascii="Rubik" w:hAnsi="Rubik"/>
          <w:color w:val="000000" w:themeColor="text1"/>
          <w:sz w:val="22"/>
        </w:rPr>
        <w:lastRenderedPageBreak/>
        <w:t>"intervention study" OR "longitudinal study" OR "follow-up study" OR matched OR "prospective study")</w:t>
      </w:r>
    </w:p>
    <w:p w14:paraId="76F7098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S45 PT ("Clinical Trial")  </w:t>
      </w:r>
    </w:p>
    <w:p w14:paraId="7E34F94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S46 S42 or S43 or S44 or S45 </w:t>
      </w:r>
    </w:p>
    <w:p w14:paraId="514CCBA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S47 S27 or S31</w:t>
      </w:r>
    </w:p>
    <w:p w14:paraId="0A2C8C1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S48 S46 AND S47 AND S40  </w:t>
      </w:r>
    </w:p>
    <w:p w14:paraId="6A066B4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Limiters - Published Date: 20100101-; English Language [non-randomised studies only]</w:t>
      </w:r>
    </w:p>
    <w:p w14:paraId="62053FC5" w14:textId="6A955A03" w:rsidR="00BD1825" w:rsidRPr="00584BCB" w:rsidRDefault="00BD1825" w:rsidP="0063063A">
      <w:pPr>
        <w:rPr>
          <w:rFonts w:ascii="Rubik" w:hAnsi="Rubik"/>
          <w:b/>
          <w:bCs/>
          <w:color w:val="000000" w:themeColor="text1"/>
          <w:sz w:val="22"/>
          <w:lang w:val="fr-FR"/>
        </w:rPr>
      </w:pPr>
      <w:r w:rsidRPr="00584BCB">
        <w:rPr>
          <w:rFonts w:ascii="Rubik" w:hAnsi="Rubik"/>
          <w:b/>
          <w:bCs/>
          <w:color w:val="000000" w:themeColor="text1"/>
          <w:sz w:val="22"/>
          <w:lang w:val="fr-FR"/>
        </w:rPr>
        <w:t xml:space="preserve">ERIC </w:t>
      </w:r>
    </w:p>
    <w:p w14:paraId="7E6C4566" w14:textId="77777777" w:rsidR="00BD1825" w:rsidRPr="00584BCB" w:rsidRDefault="00BD1825" w:rsidP="00BD1825">
      <w:pPr>
        <w:rPr>
          <w:rFonts w:ascii="Rubik" w:hAnsi="Rubik"/>
          <w:color w:val="000000" w:themeColor="text1"/>
          <w:sz w:val="22"/>
          <w:lang w:val="fr-FR"/>
        </w:rPr>
      </w:pPr>
      <w:r w:rsidRPr="00584BCB">
        <w:rPr>
          <w:rFonts w:ascii="Rubik" w:hAnsi="Rubik"/>
          <w:color w:val="000000" w:themeColor="text1"/>
          <w:sz w:val="22"/>
          <w:lang w:val="fr-FR"/>
        </w:rPr>
        <w:t>Limiters - Publication Type: Journal Articles </w:t>
      </w:r>
    </w:p>
    <w:p w14:paraId="1AAF5C48"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Limiters - Date Published: 2010-2020 </w:t>
      </w:r>
    </w:p>
    <w:p w14:paraId="5474044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 DE "Randomized Controlled Trials" </w:t>
      </w:r>
    </w:p>
    <w:p w14:paraId="01D60F7D" w14:textId="77777777"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lang w:val="it-IT"/>
        </w:rPr>
        <w:t>S2 ti (randomi*ed) </w:t>
      </w:r>
    </w:p>
    <w:p w14:paraId="0C1CD826" w14:textId="77777777"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lang w:val="it-IT"/>
        </w:rPr>
        <w:t>S3 ab (randomi*ed) </w:t>
      </w:r>
    </w:p>
    <w:p w14:paraId="499CE3F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 ab (placebo) </w:t>
      </w:r>
    </w:p>
    <w:p w14:paraId="22E1D05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S5 ab (randomly) </w:t>
      </w:r>
    </w:p>
    <w:p w14:paraId="4C015EF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S6 ti (trial) </w:t>
      </w:r>
    </w:p>
    <w:p w14:paraId="6BA4CB4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S7 S1 or S2 or S3 or S4 or S5 or S6  </w:t>
      </w:r>
    </w:p>
    <w:p w14:paraId="2C180AD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S8 DE ("Pervasive Developmental Disorders" OR "Asperger Syndrome" OR "Autism")  </w:t>
      </w:r>
    </w:p>
    <w:p w14:paraId="316480B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S9 TI ("autism spectrum disorder*" OR "autism" OR "autistic" OR "asperger*" OR "pervasive developmental disorder*") </w:t>
      </w:r>
    </w:p>
    <w:p w14:paraId="77A9F50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S10 AB ("autism spectrum disorder*" OR "autism" OR "autistic" OR "asperger*" OR "pervasive developmental disorder*") </w:t>
      </w:r>
    </w:p>
    <w:p w14:paraId="4E2A92A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S11 S8 or S9 or S10 </w:t>
      </w:r>
    </w:p>
    <w:p w14:paraId="524984B5" w14:textId="60CB514C"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S12 DE ("Intellectual Disability" OR "Down Syndrome" OR "Mild Intellectual Disability" OR "Moderate Intellectual Disability" OR "Severe Intellectual Disability" OR "Developmental </w:t>
      </w:r>
      <w:r w:rsidR="000823D5" w:rsidRPr="00584BCB">
        <w:rPr>
          <w:rFonts w:ascii="Rubik" w:hAnsi="Rubik"/>
          <w:color w:val="000000" w:themeColor="text1"/>
          <w:sz w:val="22"/>
        </w:rPr>
        <w:t>Disability</w:t>
      </w:r>
      <w:r w:rsidRPr="00584BCB">
        <w:rPr>
          <w:rFonts w:ascii="Rubik" w:hAnsi="Rubik"/>
          <w:color w:val="000000" w:themeColor="text1"/>
          <w:sz w:val="22"/>
        </w:rPr>
        <w:t>" OR "Fetal Alcohol Syndrome") </w:t>
      </w:r>
    </w:p>
    <w:p w14:paraId="697504B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S13 TI ("intellectual* disab*" OR "learning disab*" OR "developmental* disab*" OR "development* disorder*" OR "cognitive* disab*" OR "fragile x syndrome" OR "down* syndrome" OR "developmental delay*" OR "prader-willi syndrome" OR "fetal alcohol spectrum disorder*") </w:t>
      </w:r>
    </w:p>
    <w:p w14:paraId="4943E9E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S14 AB ("intellectual* disab*" OR "learning disab*" OR "developmental* disab*" OR "development* disorder*" OR "cognitive* disab*" OR "fragile x syndrome" OR "down* syndrome" OR "developmental delay*" OR "prader-willi syndrome" OR "fetal alcohol spectrum disorder*") </w:t>
      </w:r>
    </w:p>
    <w:p w14:paraId="4D72216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S15 S12 or S13 or S14 </w:t>
      </w:r>
    </w:p>
    <w:p w14:paraId="2E796E3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S16 DE ("Mental Disorders" OR "Anxiety Disorders" OR "Psychosis" OR "Schizophrenia" OR "Depression (Psychology)" OR "Anxiety")</w:t>
      </w:r>
    </w:p>
    <w:p w14:paraId="038664D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S17 TI ("psychosocial* disab*" OR "severe mental illness*" OR "serious mental illness*" OR "severe mental health" OR "serious mental health" OR "psychiatric disorder*" OR "psychiatric illness*" OR "psychiatric condition*" OR "psychiatric* disab*" OR "schizophrenia" OR </w:t>
      </w:r>
      <w:r w:rsidRPr="00584BCB">
        <w:rPr>
          <w:rFonts w:ascii="Rubik" w:hAnsi="Rubik"/>
          <w:color w:val="000000" w:themeColor="text1"/>
          <w:sz w:val="22"/>
        </w:rPr>
        <w:lastRenderedPageBreak/>
        <w:t>"schizoaffective" OR "schizo affective" OR "psychosis" OR "psychoses" OR "psychotic" OR "bipolar" OR ("affective disorder*" N2 (severe or major)) OR ("depressi*" N2 (severe or major)) OR ("anxiety" N2 (severe or major)) )</w:t>
      </w:r>
    </w:p>
    <w:p w14:paraId="55D64CD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S18 AB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N2 (severe or major)) OR ("depressi*" N2 (severe or major)) OR ("anxiety" N2 (severe or major)) )</w:t>
      </w:r>
    </w:p>
    <w:p w14:paraId="194DABD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S19 S16 or S17 or S18 </w:t>
      </w:r>
    </w:p>
    <w:p w14:paraId="53C54C1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S20 S11 or S15 or S19 </w:t>
      </w:r>
    </w:p>
    <w:p w14:paraId="5305D08C" w14:textId="74611A90"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S21 DE "Employment" OR DE "Self Employment" OR DE "Supported Employment" OR DE "Careers" OR DE "Employment Opportunities" OR DE "Equal Opportunities (Jobs)" OR DE "Employment Programs" OR DE "Employment Services" OR DE "Employment Experience" OR DE "Employment Interviews" OR DE "Employment Potential" OR DE "Job Applicants" OR DE "Job Application" OR DE "Job Skills" OR DE "Work Experience" OR DE "Job Development" OR DE "Job Search Methods" OR DE "Career Awareness" OR DE "Career Guidance" OR DE "Career Counseling" OR DE "Career Development" OR DE "Career Education" OR DE "Career Exploration" OR DE "Career Planning" OR DE "Workplace Learning" OR "Off the Job Training" OR DE "On the Job Training" OR DE "Apprenticeships" OR DE "Professional Development" OR DE "Staff Development" OR "Vocational Education" OR DE "Prevocational Education" OR DE "Job Placement" OR DE "Job Shadowing" OR DE "Job Training" OR DE "Vocational Adjustment" OR DE "Vocational Rehabilitation" OR DE "Vocational Training Centers" OR DE "Work Experience Programs" OR DE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Workshops" OR DE "Employment Patterns" OR  DE "Work Attitudes" OR DE "Work Environment" or DE "Employees" OR DE "Quality of Working Life" </w:t>
      </w:r>
    </w:p>
    <w:p w14:paraId="211E66CC" w14:textId="0C156A5D"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S22 TI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 </w:t>
      </w:r>
    </w:p>
    <w:p w14:paraId="265A7514" w14:textId="49CBEFBA"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S23 AB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 </w:t>
      </w:r>
    </w:p>
    <w:p w14:paraId="774A595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lastRenderedPageBreak/>
        <w:t>S24 S21 or S22 or S23 </w:t>
      </w:r>
    </w:p>
    <w:p w14:paraId="7A52D0C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S29 S7 AND S20 AND S24  </w:t>
      </w:r>
    </w:p>
    <w:p w14:paraId="5620182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Limiters - Date Published: 20100101-; Language: English [RCTs]</w:t>
      </w:r>
    </w:p>
    <w:p w14:paraId="284BF42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S30 DE ("Longitudinal Studies" OR "Followup Studies" OR "Quasiexperimental Design" OR "Control Groups" OR "Experimental Groups" OR "Matched Groups" OR "Pretests Posttests") </w:t>
      </w:r>
    </w:p>
    <w:p w14:paraId="04E331E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S31 TI ("quasi-experiment*" OR "experimental study" OR "clinical trial" OR "control* trial" OR "control* study" OR "before and after study" OR "cohort study" OR "comparative study" OR "intervention study" OR "longitudinal study" OR "follow-up study" OR matched OR "prospective study") </w:t>
      </w:r>
    </w:p>
    <w:p w14:paraId="1AFF00D4"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S32 AB ("quasi-experiment*" OR "experimental study" OR "clinical trial" OR "control* trial" OR "control* study" OR "before and after study" OR "cohort study" OR "comparative study" OR "intervention study" OR "longitudinal study" OR "follow-up study" OR matched OR "prospective study") </w:t>
      </w:r>
    </w:p>
    <w:p w14:paraId="43CF938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S33 S30 or S31 or S32 </w:t>
      </w:r>
    </w:p>
    <w:p w14:paraId="0D5BFCC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S34 S11 or S15</w:t>
      </w:r>
    </w:p>
    <w:p w14:paraId="1CFC805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S35 S33 and S34 and S24   </w:t>
      </w:r>
    </w:p>
    <w:p w14:paraId="1DD41F4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S36 S35 NOT S29   </w:t>
      </w:r>
    </w:p>
    <w:p w14:paraId="7CC362E0" w14:textId="042561CB" w:rsidR="00BD1825" w:rsidRPr="00584BCB" w:rsidRDefault="00BD1825" w:rsidP="0063063A">
      <w:pPr>
        <w:rPr>
          <w:rFonts w:ascii="Rubik" w:hAnsi="Rubik"/>
          <w:color w:val="000000" w:themeColor="text1"/>
          <w:sz w:val="22"/>
        </w:rPr>
      </w:pPr>
      <w:r w:rsidRPr="00584BCB">
        <w:rPr>
          <w:rFonts w:ascii="Rubik" w:hAnsi="Rubik"/>
          <w:color w:val="000000" w:themeColor="text1"/>
          <w:sz w:val="22"/>
        </w:rPr>
        <w:t>Limiters - Date Published: 20100101-; Language: English [non-randomised studies only]  </w:t>
      </w:r>
    </w:p>
    <w:p w14:paraId="6EB52462" w14:textId="77777777" w:rsidR="00BD1825" w:rsidRPr="00584BCB" w:rsidRDefault="00BD1825" w:rsidP="00BD1825">
      <w:pPr>
        <w:rPr>
          <w:rFonts w:ascii="Rubik" w:hAnsi="Rubik"/>
          <w:b/>
          <w:bCs/>
          <w:color w:val="000000" w:themeColor="text1"/>
          <w:sz w:val="22"/>
          <w:lang w:val="it-IT"/>
        </w:rPr>
      </w:pPr>
      <w:r w:rsidRPr="00584BCB">
        <w:rPr>
          <w:rFonts w:ascii="Rubik" w:hAnsi="Rubik"/>
          <w:b/>
          <w:bCs/>
          <w:color w:val="000000" w:themeColor="text1"/>
          <w:sz w:val="22"/>
          <w:lang w:val="it-IT"/>
        </w:rPr>
        <w:t xml:space="preserve">ERC </w:t>
      </w:r>
    </w:p>
    <w:p w14:paraId="3641AAEE" w14:textId="77777777" w:rsidR="00BD1825" w:rsidRPr="00584BCB" w:rsidRDefault="00BD1825" w:rsidP="00BD1825">
      <w:pPr>
        <w:rPr>
          <w:rFonts w:ascii="Rubik" w:hAnsi="Rubik"/>
          <w:color w:val="000000" w:themeColor="text1"/>
          <w:sz w:val="22"/>
          <w:lang w:val="it-IT"/>
        </w:rPr>
      </w:pPr>
      <w:r w:rsidRPr="00584BCB">
        <w:rPr>
          <w:rFonts w:ascii="Rubik" w:hAnsi="Rubik"/>
          <w:color w:val="000000" w:themeColor="text1"/>
          <w:sz w:val="22"/>
          <w:lang w:val="it-IT"/>
        </w:rPr>
        <w:t>S1 TI (randomi*ed) </w:t>
      </w:r>
    </w:p>
    <w:p w14:paraId="10473286"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 AB (randomi*ed) </w:t>
      </w:r>
    </w:p>
    <w:p w14:paraId="1669EBC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S3 AB (placebo) </w:t>
      </w:r>
    </w:p>
    <w:p w14:paraId="7887653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S4 AB (randomly) </w:t>
      </w:r>
    </w:p>
    <w:p w14:paraId="7D420D9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S5 TI (trial) </w:t>
      </w:r>
    </w:p>
    <w:p w14:paraId="6A0F952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S6 S1 or S2 or S3 or S4 or S5  </w:t>
      </w:r>
    </w:p>
    <w:p w14:paraId="72D99710"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S7 DE "AUTISM" OR DE "AUTISM spectrum disorders" OR DE "ASPERGER'S syndrome"  </w:t>
      </w:r>
    </w:p>
    <w:p w14:paraId="20852CD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S8 TI ("autism spectrum disorder*" OR "autism" OR "autistic" OR "asperger*" OR "pervasive developmental disorder*") </w:t>
      </w:r>
    </w:p>
    <w:p w14:paraId="3016CB11"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S9 AB ("autism spectrum disorder*" OR "autism" OR "autistic" OR "asperger*" OR "pervasive developmental disorder*") </w:t>
      </w:r>
    </w:p>
    <w:p w14:paraId="7579082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S10 S7 or S8 or S9 </w:t>
      </w:r>
    </w:p>
    <w:p w14:paraId="3F3B2DEA" w14:textId="7A77FA3D"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S11 DE ("MENTAL </w:t>
      </w:r>
      <w:r w:rsidR="000823D5" w:rsidRPr="00584BCB">
        <w:rPr>
          <w:rFonts w:ascii="Rubik" w:hAnsi="Rubik"/>
          <w:color w:val="000000" w:themeColor="text1"/>
          <w:sz w:val="22"/>
        </w:rPr>
        <w:t>disability</w:t>
      </w:r>
      <w:r w:rsidRPr="00584BCB">
        <w:rPr>
          <w:rFonts w:ascii="Rubik" w:hAnsi="Rubik"/>
          <w:color w:val="000000" w:themeColor="text1"/>
          <w:sz w:val="22"/>
        </w:rPr>
        <w:t xml:space="preserve">" OR "DEVELOPMENTAL </w:t>
      </w:r>
      <w:r w:rsidR="000823D5" w:rsidRPr="00584BCB">
        <w:rPr>
          <w:rFonts w:ascii="Rubik" w:hAnsi="Rubik"/>
          <w:color w:val="000000" w:themeColor="text1"/>
          <w:sz w:val="22"/>
        </w:rPr>
        <w:t>disability</w:t>
      </w:r>
      <w:r w:rsidRPr="00584BCB">
        <w:rPr>
          <w:rFonts w:ascii="Rubik" w:hAnsi="Rubik"/>
          <w:color w:val="000000" w:themeColor="text1"/>
          <w:sz w:val="22"/>
        </w:rPr>
        <w:t>" OR "DOWN syndrome" OR "FETAL alcohol syndrome") </w:t>
      </w:r>
    </w:p>
    <w:p w14:paraId="5C5D512F"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S12 TI ("intellectual* disab*" OR "learning disab*" OR "developmental* disab*" OR "development* disorder*" OR "cognitive* disab*" OR "fragile x syndrome" OR "down* syndrome" OR "developmental delay*" OR "prader-willi syndrome" OR "fetal alcohol spectrum disorder*") </w:t>
      </w:r>
    </w:p>
    <w:p w14:paraId="0300567D"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S13 AB ("intellectual* disab*" OR "learning disab*" OR "developmental* disab*" OR "development* disorder*" OR "cognitive* disab*" OR "fragile x syndrome" OR </w:t>
      </w:r>
      <w:r w:rsidRPr="00584BCB">
        <w:rPr>
          <w:rFonts w:ascii="Rubik" w:hAnsi="Rubik"/>
          <w:color w:val="000000" w:themeColor="text1"/>
          <w:sz w:val="22"/>
        </w:rPr>
        <w:lastRenderedPageBreak/>
        <w:t>"down* syndrome" OR "developmental delay*" OR "prader-willi syndrome" OR "fetal alcohol spectrum disorder*") </w:t>
      </w:r>
    </w:p>
    <w:p w14:paraId="3F02A7CB"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S14 S11 or S12 or S13 </w:t>
      </w:r>
    </w:p>
    <w:p w14:paraId="63EBDAEE"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S15 DE ("Mental illness" OR "AFFECTIVE disorders" OR "ANXIETY" OR "MENTAL depression" OR "Schizophrenia" OR "Psychoses") </w:t>
      </w:r>
    </w:p>
    <w:p w14:paraId="6A3AD88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S16 TI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N2 (severe or major)) OR ("depressi*" N2 (severe or major)) OR ("anxiety" N2 (severe or major)) )</w:t>
      </w:r>
    </w:p>
    <w:p w14:paraId="6E921E8A"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S17 AB ("psychosocial* disab*" OR "severe mental illness*" OR "serious mental illness*" OR "severe mental health" OR "serious mental health" OR "psychiatric disorder*" OR "psychiatric illness*" OR "psychiatric condition*" OR "psychiatric* disab*" OR "schizophrenia" OR "schizoaffective" OR "schizo affective" OR "psychosis" OR "psychoses" OR "psychotic" OR "bipolar" OR ("affective disorder*" N2 (severe or major)) OR ("depressi*" N2 (severe or major)) OR ("anxiety" N2 (severe or major)) )</w:t>
      </w:r>
    </w:p>
    <w:p w14:paraId="76AA905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S18 S15 or S16 or S17 </w:t>
      </w:r>
    </w:p>
    <w:p w14:paraId="08711FEC"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S19 S10 or S14 or S18 </w:t>
      </w:r>
    </w:p>
    <w:p w14:paraId="76E25601" w14:textId="5756B9A6" w:rsidR="00BD1825" w:rsidRPr="00584BCB" w:rsidRDefault="00BD1825" w:rsidP="00BD1825">
      <w:pPr>
        <w:rPr>
          <w:rFonts w:ascii="Rubik" w:hAnsi="Rubik"/>
          <w:color w:val="000000" w:themeColor="text1"/>
          <w:sz w:val="22"/>
        </w:rPr>
      </w:pPr>
      <w:r w:rsidRPr="00584BCB">
        <w:rPr>
          <w:rFonts w:ascii="Rubik" w:hAnsi="Rubik"/>
          <w:color w:val="000000" w:themeColor="text1"/>
          <w:sz w:val="22"/>
        </w:rPr>
        <w:t xml:space="preserve">S20 DE ("EMPLOYMENT" OR "EMPLOYMENT &amp; education" OR "SCHOOL-to-work transition" OR "WORK &amp; education" OR "INDIVIDUALIZED transition plans" OR "VOCATIONAL guidance" OR "OCCUPATIONAL training" OR "VOCATIONAL education" OR "EMPLOYEE training" OR "INTERNSHIP programs" OR DE "CAREER development" OR "SUPPORTED employment" OR "EMPLOYMENT of people with </w:t>
      </w:r>
      <w:r w:rsidR="000823D5" w:rsidRPr="00584BCB">
        <w:rPr>
          <w:rFonts w:ascii="Rubik" w:hAnsi="Rubik"/>
          <w:color w:val="000000" w:themeColor="text1"/>
          <w:sz w:val="22"/>
        </w:rPr>
        <w:t>disability</w:t>
      </w:r>
      <w:r w:rsidRPr="00584BCB">
        <w:rPr>
          <w:rFonts w:ascii="Rubik" w:hAnsi="Rubik"/>
          <w:color w:val="000000" w:themeColor="text1"/>
          <w:sz w:val="22"/>
        </w:rPr>
        <w:t>" OR "VOCATIONAL rehabilitation"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workshops" OR "EMPLOYMENT agencies" OR "APPRENTICES" OR "APPRENTICESHIP programs" OR "INTERNSHIP programs" OR "JOB skills" OR "WORKPLACE literacy" OR "EMPLOYER-supported education")</w:t>
      </w:r>
    </w:p>
    <w:p w14:paraId="640A6A2F" w14:textId="35482AFF"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S21 TI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w:t>
      </w:r>
    </w:p>
    <w:p w14:paraId="7E9876CB" w14:textId="049FB985"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S22 AB ("employment" OR "employability" OR "employable" OR "project search" OR "ticket to work" OR "individual placement or support" OR "clubhouse" OR "</w:t>
      </w:r>
      <w:r w:rsidR="001007FB" w:rsidRPr="00584BCB">
        <w:rPr>
          <w:rFonts w:ascii="Rubik" w:hAnsi="Rubik"/>
          <w:color w:val="000000" w:themeColor="text1"/>
          <w:sz w:val="22"/>
        </w:rPr>
        <w:t>supported</w:t>
      </w:r>
      <w:r w:rsidRPr="00584BCB">
        <w:rPr>
          <w:rFonts w:ascii="Rubik" w:hAnsi="Rubik"/>
          <w:color w:val="000000" w:themeColor="text1"/>
          <w:sz w:val="22"/>
        </w:rPr>
        <w:t xml:space="preserve"> work*" OR "disability enterprise*" OR "social enterprise*" OR "social firm*" OR "social cooperative*" OR "affirmative business*" OR "social purpose business*" or "vocational*" OR "prevocational" OR ((career or occupational) N0 (guidance OR counse*ling OR plan* OR development)) OR "return to work" OR "work participation" OR "work read*" OR "work status" OR "work retention" OR apprenticeship* OR "work experience*" OR "occupational rehabilitation" OR "work rehabilitation" OR "school to work transition" OR "place and train" OR "place train" OR "train and place" OR "train place" OR "job coach*" OR "job interview*" OR "job search*" OR ((job OR work or workplace) N3 (mentor* OR training or placement* OR program or programme)))</w:t>
      </w:r>
    </w:p>
    <w:p w14:paraId="3A12554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lastRenderedPageBreak/>
        <w:t>S23 S20 or S21 or S22 </w:t>
      </w:r>
    </w:p>
    <w:p w14:paraId="6C5DCD92"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S24 S6 AND S19 AND S23 </w:t>
      </w:r>
    </w:p>
    <w:p w14:paraId="65A438E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Limiters - Published Date: 20100101-; Language: English [RCTs]</w:t>
      </w:r>
    </w:p>
    <w:p w14:paraId="6827A7E5"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S25 DE ("LONGITUDINAL method" OR "COHORT analysis" OR "COMPARATIVE studies" OR "EXPERIMENTAL design" OR "EXPERIMENTS" OR "CONTROL groups" OR "EXPERIMENTAL groups") </w:t>
      </w:r>
    </w:p>
    <w:p w14:paraId="5460DBF3" w14:textId="77777777" w:rsidR="00BD1825" w:rsidRPr="00584BCB" w:rsidRDefault="00BD1825" w:rsidP="00BD1825">
      <w:pPr>
        <w:rPr>
          <w:rFonts w:ascii="Rubik" w:hAnsi="Rubik"/>
          <w:color w:val="000000" w:themeColor="text1"/>
          <w:sz w:val="22"/>
        </w:rPr>
      </w:pPr>
      <w:r w:rsidRPr="00584BCB">
        <w:rPr>
          <w:rFonts w:ascii="Rubik" w:hAnsi="Rubik"/>
          <w:color w:val="000000" w:themeColor="text1"/>
          <w:sz w:val="22"/>
        </w:rPr>
        <w:t>S26 TI ("quasi-experiment*" OR "experimental study" OR "clinical trial" OR "control* trial"</w:t>
      </w:r>
      <w:r w:rsidRPr="00584BCB" w:rsidDel="00723986">
        <w:rPr>
          <w:rFonts w:ascii="Rubik" w:hAnsi="Rubik"/>
          <w:color w:val="000000" w:themeColor="text1"/>
          <w:sz w:val="22"/>
        </w:rPr>
        <w:t xml:space="preserve"> </w:t>
      </w:r>
      <w:r w:rsidRPr="00584BCB">
        <w:rPr>
          <w:rFonts w:ascii="Rubik" w:hAnsi="Rubik"/>
          <w:color w:val="000000" w:themeColor="text1"/>
          <w:sz w:val="22"/>
        </w:rPr>
        <w:t>OR "control* study"</w:t>
      </w:r>
      <w:r w:rsidRPr="00584BCB" w:rsidDel="00723986">
        <w:rPr>
          <w:rFonts w:ascii="Rubik" w:hAnsi="Rubik"/>
          <w:color w:val="000000" w:themeColor="text1"/>
          <w:sz w:val="22"/>
        </w:rPr>
        <w:t xml:space="preserve"> </w:t>
      </w:r>
      <w:r w:rsidRPr="00584BCB">
        <w:rPr>
          <w:rFonts w:ascii="Rubik" w:hAnsi="Rubik"/>
          <w:color w:val="000000" w:themeColor="text1"/>
          <w:sz w:val="22"/>
        </w:rPr>
        <w:t>OR "before and after study" OR "cohort study" OR "comparative study" OR "intervention study" OR "longitudinal study" OR "follow-up study" OR matched OR "prospective study")</w:t>
      </w:r>
    </w:p>
    <w:p w14:paraId="22E2D85D"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S27 AB ("quasi-experiment*" OR "experimental study" OR "clinical trial" OR "control* trial"</w:t>
      </w:r>
      <w:r w:rsidRPr="00584BCB" w:rsidDel="00723986">
        <w:rPr>
          <w:rFonts w:ascii="Rubik" w:hAnsi="Rubik"/>
          <w:color w:val="000000" w:themeColor="text1"/>
          <w:szCs w:val="20"/>
        </w:rPr>
        <w:t xml:space="preserve"> </w:t>
      </w:r>
      <w:r w:rsidRPr="00584BCB">
        <w:rPr>
          <w:rFonts w:ascii="Rubik" w:hAnsi="Rubik"/>
          <w:color w:val="000000" w:themeColor="text1"/>
          <w:szCs w:val="20"/>
        </w:rPr>
        <w:t>OR "control* study"</w:t>
      </w:r>
      <w:r w:rsidRPr="00584BCB" w:rsidDel="00723986">
        <w:rPr>
          <w:rFonts w:ascii="Rubik" w:hAnsi="Rubik"/>
          <w:color w:val="000000" w:themeColor="text1"/>
          <w:szCs w:val="20"/>
        </w:rPr>
        <w:t xml:space="preserve"> </w:t>
      </w:r>
      <w:r w:rsidRPr="00584BCB">
        <w:rPr>
          <w:rFonts w:ascii="Rubik" w:hAnsi="Rubik"/>
          <w:color w:val="000000" w:themeColor="text1"/>
          <w:szCs w:val="20"/>
        </w:rPr>
        <w:t>OR "before and after study" OR "cohort study" OR "comparative study" OR "intervention study" OR "longitudinal study" OR "follow-up study" OR matched OR "prospective study")</w:t>
      </w:r>
    </w:p>
    <w:p w14:paraId="73932E84"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S28 S25 or S26 or S27 </w:t>
      </w:r>
    </w:p>
    <w:p w14:paraId="706C69C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S29 S10 or S14 </w:t>
      </w:r>
    </w:p>
    <w:p w14:paraId="0A22B975" w14:textId="00234D15"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S30 S28 and S29 and S23 </w:t>
      </w:r>
    </w:p>
    <w:p w14:paraId="71317FF6" w14:textId="77777777" w:rsidR="00BD1825" w:rsidRPr="00584BCB" w:rsidRDefault="00BD1825" w:rsidP="00BD1825">
      <w:pPr>
        <w:rPr>
          <w:rFonts w:ascii="Rubik" w:hAnsi="Rubik"/>
          <w:color w:val="000000" w:themeColor="text1"/>
          <w:szCs w:val="20"/>
        </w:rPr>
      </w:pPr>
      <w:r w:rsidRPr="00584BCB">
        <w:rPr>
          <w:rFonts w:ascii="Rubik" w:hAnsi="Rubik"/>
          <w:color w:val="000000" w:themeColor="text1"/>
          <w:szCs w:val="20"/>
        </w:rPr>
        <w:t xml:space="preserve">S31 S30 not S24 </w:t>
      </w:r>
    </w:p>
    <w:p w14:paraId="6104B716" w14:textId="34075BD2" w:rsidR="00666981" w:rsidRPr="00584BCB" w:rsidRDefault="00BD1825" w:rsidP="00217D3F">
      <w:pPr>
        <w:rPr>
          <w:rFonts w:ascii="Rubik" w:hAnsi="Rubik"/>
          <w:color w:val="000000" w:themeColor="text1"/>
          <w:sz w:val="22"/>
        </w:rPr>
      </w:pPr>
      <w:r w:rsidRPr="00584BCB">
        <w:rPr>
          <w:rFonts w:ascii="Rubik" w:hAnsi="Rubik"/>
          <w:color w:val="000000" w:themeColor="text1"/>
          <w:szCs w:val="20"/>
        </w:rPr>
        <w:t xml:space="preserve">Limiters - Published Date: 20100101-; Language: </w:t>
      </w:r>
      <w:r w:rsidR="00B241F2" w:rsidRPr="00584BCB">
        <w:rPr>
          <w:rFonts w:ascii="Rubik" w:hAnsi="Rubik"/>
          <w:color w:val="000000" w:themeColor="text1"/>
          <w:szCs w:val="20"/>
        </w:rPr>
        <w:t>English [</w:t>
      </w:r>
      <w:r w:rsidRPr="00584BCB">
        <w:rPr>
          <w:rFonts w:ascii="Rubik" w:hAnsi="Rubik"/>
          <w:color w:val="000000" w:themeColor="text1"/>
          <w:szCs w:val="20"/>
        </w:rPr>
        <w:t>non-randomised studies only</w:t>
      </w:r>
      <w:bookmarkEnd w:id="18"/>
      <w:bookmarkEnd w:id="17"/>
      <w:bookmarkEnd w:id="16"/>
      <w:bookmarkEnd w:id="15"/>
      <w:bookmarkEnd w:id="14"/>
      <w:bookmarkEnd w:id="13"/>
      <w:bookmarkEnd w:id="12"/>
      <w:bookmarkEnd w:id="11"/>
      <w:bookmarkEnd w:id="10"/>
      <w:bookmarkEnd w:id="9"/>
      <w:bookmarkEnd w:id="8"/>
      <w:bookmarkEnd w:id="7"/>
      <w:bookmarkEnd w:id="6"/>
      <w:bookmarkEnd w:id="5"/>
      <w:bookmarkEnd w:id="4"/>
      <w:r w:rsidR="00666981" w:rsidRPr="00584BCB">
        <w:rPr>
          <w:rFonts w:ascii="Rubik" w:eastAsia="Calibri" w:hAnsi="Rubik" w:cs="Times New Roman"/>
          <w:color w:val="000000" w:themeColor="text1"/>
          <w:sz w:val="22"/>
          <w:lang w:eastAsia="en-US"/>
        </w:rPr>
        <w:br w:type="page"/>
      </w:r>
    </w:p>
    <w:bookmarkStart w:id="41" w:name="_Toc65832989"/>
    <w:bookmarkStart w:id="42" w:name="_Toc65833736"/>
    <w:bookmarkStart w:id="43" w:name="_Toc65847999"/>
    <w:bookmarkStart w:id="44" w:name="_Toc66716617"/>
    <w:p w14:paraId="0CF0ACC0" w14:textId="4E930B4F" w:rsidR="00666981" w:rsidRPr="00584BCB" w:rsidRDefault="00217D3F" w:rsidP="00666981">
      <w:pPr>
        <w:pStyle w:val="Introduction"/>
        <w:rPr>
          <w:rFonts w:ascii="Rubik" w:hAnsi="Rubik"/>
          <w:color w:val="000000" w:themeColor="text1"/>
          <w:sz w:val="24"/>
          <w:szCs w:val="24"/>
        </w:rPr>
      </w:pPr>
      <w:r w:rsidRPr="00584BCB">
        <w:rPr>
          <w:rFonts w:ascii="Rubik" w:hAnsi="Rubik"/>
          <w:noProof/>
          <w:color w:val="000000" w:themeColor="text1"/>
          <w:lang w:eastAsia="en-AU"/>
        </w:rPr>
        <w:lastRenderedPageBreak/>
        <mc:AlternateContent>
          <mc:Choice Requires="wps">
            <w:drawing>
              <wp:anchor distT="0" distB="0" distL="114300" distR="114300" simplePos="0" relativeHeight="251658245" behindDoc="1" locked="0" layoutInCell="1" allowOverlap="1" wp14:anchorId="1047961A" wp14:editId="291ECECF">
                <wp:simplePos x="0" y="0"/>
                <wp:positionH relativeFrom="column">
                  <wp:posOffset>-1338276</wp:posOffset>
                </wp:positionH>
                <wp:positionV relativeFrom="paragraph">
                  <wp:posOffset>-1621612</wp:posOffset>
                </wp:positionV>
                <wp:extent cx="9118242" cy="11809927"/>
                <wp:effectExtent l="0" t="0" r="635" b="1270"/>
                <wp:wrapNone/>
                <wp:docPr id="4" name="Rectangle 4"/>
                <wp:cNvGraphicFramePr/>
                <a:graphic xmlns:a="http://schemas.openxmlformats.org/drawingml/2006/main">
                  <a:graphicData uri="http://schemas.microsoft.com/office/word/2010/wordprocessingShape">
                    <wps:wsp>
                      <wps:cNvSpPr/>
                      <wps:spPr>
                        <a:xfrm>
                          <a:off x="0" y="0"/>
                          <a:ext cx="9118242" cy="11809927"/>
                        </a:xfrm>
                        <a:prstGeom prst="rect">
                          <a:avLst/>
                        </a:prstGeom>
                        <a:solidFill>
                          <a:srgbClr val="7EA4A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dec="http://schemas.microsoft.com/office/drawing/2017/decorative" xmlns:a14="http://schemas.microsoft.com/office/drawing/2010/main" xmlns:arto="http://schemas.microsoft.com/office/word/2006/arto">
            <w:pict w14:anchorId="77BDD6CF">
              <v:rect id="Rectangle 4" style="position:absolute;margin-left:-105.4pt;margin-top:-127.7pt;width:717.95pt;height:929.9pt;z-index:-2516490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ea4a4" stroked="f" strokeweight="1pt" w14:anchorId="70B369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"/>
            </w:pict>
          </mc:Fallback>
        </mc:AlternateContent>
      </w:r>
      <w:bookmarkEnd w:id="41"/>
      <w:bookmarkEnd w:id="42"/>
      <w:bookmarkEnd w:id="43"/>
      <w:bookmarkEnd w:id="44"/>
    </w:p>
    <w:p w14:paraId="081FE87E" w14:textId="77777777" w:rsidR="00666981" w:rsidRPr="00584BCB" w:rsidRDefault="00666981" w:rsidP="00666981">
      <w:pPr>
        <w:pStyle w:val="Introduction"/>
        <w:rPr>
          <w:rFonts w:ascii="Rubik" w:hAnsi="Rubik"/>
          <w:color w:val="000000" w:themeColor="text1"/>
          <w:sz w:val="24"/>
          <w:szCs w:val="24"/>
        </w:rPr>
      </w:pPr>
    </w:p>
    <w:p w14:paraId="4B26D9BA" w14:textId="77777777" w:rsidR="00666981" w:rsidRPr="00584BCB" w:rsidRDefault="00666981" w:rsidP="00666981">
      <w:pPr>
        <w:pStyle w:val="Introduction"/>
        <w:rPr>
          <w:rFonts w:ascii="Rubik" w:hAnsi="Rubik"/>
          <w:color w:val="000000" w:themeColor="text1"/>
          <w:sz w:val="24"/>
          <w:szCs w:val="24"/>
        </w:rPr>
      </w:pPr>
    </w:p>
    <w:p w14:paraId="2C7B9800" w14:textId="2006F96A" w:rsidR="00666981" w:rsidRPr="00584BCB" w:rsidRDefault="00666981" w:rsidP="00666981">
      <w:pPr>
        <w:pStyle w:val="Introduction"/>
        <w:rPr>
          <w:rFonts w:ascii="Rubik" w:hAnsi="Rubik"/>
          <w:color w:val="000000" w:themeColor="text1"/>
          <w:sz w:val="24"/>
          <w:szCs w:val="24"/>
        </w:rPr>
      </w:pPr>
    </w:p>
    <w:p w14:paraId="1C831344" w14:textId="77777777" w:rsidR="00666981" w:rsidRPr="00584BCB" w:rsidRDefault="00666981" w:rsidP="00666981">
      <w:pPr>
        <w:pStyle w:val="Introduction"/>
        <w:rPr>
          <w:rFonts w:ascii="Rubik" w:hAnsi="Rubik"/>
          <w:color w:val="000000" w:themeColor="text1"/>
          <w:sz w:val="24"/>
          <w:szCs w:val="24"/>
        </w:rPr>
      </w:pPr>
    </w:p>
    <w:p w14:paraId="6B86D451" w14:textId="77777777" w:rsidR="00666981" w:rsidRPr="00584BCB" w:rsidRDefault="00666981" w:rsidP="00666981">
      <w:pPr>
        <w:pStyle w:val="Introduction"/>
        <w:rPr>
          <w:rFonts w:ascii="Rubik" w:hAnsi="Rubik"/>
          <w:color w:val="000000" w:themeColor="text1"/>
          <w:sz w:val="24"/>
          <w:szCs w:val="24"/>
        </w:rPr>
      </w:pPr>
    </w:p>
    <w:p w14:paraId="2E8C259B" w14:textId="77777777" w:rsidR="00666981" w:rsidRPr="00584BCB" w:rsidRDefault="00666981" w:rsidP="00666981">
      <w:pPr>
        <w:pStyle w:val="Introduction"/>
        <w:rPr>
          <w:rFonts w:ascii="Rubik" w:hAnsi="Rubik"/>
          <w:color w:val="000000" w:themeColor="text1"/>
          <w:sz w:val="24"/>
          <w:szCs w:val="24"/>
        </w:rPr>
      </w:pPr>
    </w:p>
    <w:p w14:paraId="518B80A7" w14:textId="77777777" w:rsidR="00666981" w:rsidRPr="00584BCB" w:rsidRDefault="00666981" w:rsidP="00666981">
      <w:pPr>
        <w:pStyle w:val="Introduction"/>
        <w:rPr>
          <w:rFonts w:ascii="Rubik" w:hAnsi="Rubik"/>
          <w:color w:val="000000" w:themeColor="text1"/>
          <w:sz w:val="24"/>
          <w:szCs w:val="24"/>
        </w:rPr>
      </w:pPr>
    </w:p>
    <w:p w14:paraId="6FD35C3C" w14:textId="77777777" w:rsidR="00666981" w:rsidRPr="00584BCB" w:rsidRDefault="00666981" w:rsidP="00666981">
      <w:pPr>
        <w:pStyle w:val="Introduction"/>
        <w:rPr>
          <w:rFonts w:ascii="Rubik" w:hAnsi="Rubik"/>
          <w:color w:val="000000" w:themeColor="text1"/>
          <w:sz w:val="24"/>
          <w:szCs w:val="24"/>
        </w:rPr>
      </w:pPr>
    </w:p>
    <w:p w14:paraId="1A865446" w14:textId="2A3D3C87" w:rsidR="00666981" w:rsidRPr="00584BCB" w:rsidRDefault="00666981" w:rsidP="00666981">
      <w:pPr>
        <w:pStyle w:val="Introduction"/>
        <w:rPr>
          <w:rFonts w:ascii="Rubik" w:hAnsi="Rubik"/>
          <w:color w:val="000000" w:themeColor="text1"/>
          <w:sz w:val="24"/>
          <w:szCs w:val="24"/>
        </w:rPr>
      </w:pPr>
    </w:p>
    <w:p w14:paraId="2E5BB941" w14:textId="77777777" w:rsidR="00666981" w:rsidRPr="00584BCB" w:rsidRDefault="00666981" w:rsidP="00666981">
      <w:pPr>
        <w:pStyle w:val="Introduction"/>
        <w:rPr>
          <w:rFonts w:ascii="Rubik" w:hAnsi="Rubik"/>
          <w:color w:val="000000" w:themeColor="text1"/>
          <w:sz w:val="24"/>
          <w:szCs w:val="24"/>
        </w:rPr>
      </w:pPr>
    </w:p>
    <w:bookmarkStart w:id="45" w:name="_Toc66716618" w:displacedByCustomXml="next"/>
    <w:bookmarkStart w:id="46" w:name="_Toc65832990" w:displacedByCustomXml="next"/>
    <w:sdt>
      <w:sdtPr>
        <w:rPr>
          <w:rFonts w:ascii="Rubik" w:hAnsi="Rubik" w:cs="Rubik" w:hint="cs"/>
          <w:b/>
          <w:bCs/>
          <w:color w:val="000000" w:themeColor="text1"/>
        </w:rPr>
        <w:id w:val="-1299221664"/>
        <w:placeholder>
          <w:docPart w:val="071BFAA0304AC54988C02990DBB1D5AE"/>
        </w:placeholder>
        <w:text/>
      </w:sdtPr>
      <w:sdtEndPr/>
      <w:sdtContent>
        <w:p w14:paraId="0FDEB275" w14:textId="77777777" w:rsidR="00666981" w:rsidRPr="00584BCB" w:rsidRDefault="00666981" w:rsidP="00666981">
          <w:pPr>
            <w:pStyle w:val="Introduction"/>
            <w:rPr>
              <w:color w:val="000000" w:themeColor="text1"/>
            </w:rPr>
          </w:pPr>
          <w:r w:rsidRPr="00584BCB">
            <w:rPr>
              <w:rFonts w:ascii="Rubik" w:hAnsi="Rubik" w:cs="Rubik" w:hint="cs"/>
              <w:b/>
              <w:bCs/>
              <w:color w:val="000000" w:themeColor="text1"/>
            </w:rPr>
            <w:t>Further information</w:t>
          </w:r>
        </w:p>
      </w:sdtContent>
    </w:sdt>
    <w:bookmarkEnd w:id="45" w:displacedByCustomXml="prev"/>
    <w:bookmarkEnd w:id="46" w:displacedByCustomXml="prev"/>
    <w:p w14:paraId="6D70DCB0" w14:textId="668762A3" w:rsidR="00666981" w:rsidRPr="00584BCB" w:rsidRDefault="00666981" w:rsidP="00666981">
      <w:pPr>
        <w:pStyle w:val="Introduction"/>
        <w:rPr>
          <w:rFonts w:ascii="Rubik" w:hAnsi="Rubik"/>
          <w:color w:val="000000" w:themeColor="text1"/>
          <w:sz w:val="24"/>
          <w:szCs w:val="24"/>
        </w:rPr>
      </w:pPr>
    </w:p>
    <w:bookmarkStart w:id="47" w:name="_Toc66716619" w:displacedByCustomXml="next"/>
    <w:bookmarkStart w:id="48" w:name="_Toc65848001" w:displacedByCustomXml="next"/>
    <w:bookmarkStart w:id="49" w:name="_Toc65833738" w:displacedByCustomXml="next"/>
    <w:bookmarkStart w:id="50" w:name="_Toc65832991" w:displacedByCustomXml="next"/>
    <w:sdt>
      <w:sdtPr>
        <w:rPr>
          <w:rFonts w:ascii="Rubik" w:eastAsia="Calibri" w:hAnsi="Rubik"/>
          <w:color w:val="000000" w:themeColor="text1"/>
          <w:sz w:val="24"/>
          <w:szCs w:val="24"/>
        </w:rPr>
        <w:id w:val="1520199547"/>
        <w:placeholder>
          <w:docPart w:val="925DCFE9CF0FEB429B87E96D89D752D1"/>
        </w:placeholder>
        <w:text/>
      </w:sdtPr>
      <w:sdtEndPr/>
      <w:sdtContent>
        <w:p w14:paraId="1DCF2FE5" w14:textId="4C6A2204" w:rsidR="00666981" w:rsidRPr="00584BCB" w:rsidRDefault="00666981" w:rsidP="00666981">
          <w:pPr>
            <w:pStyle w:val="Introduction"/>
            <w:spacing w:line="276" w:lineRule="auto"/>
            <w:rPr>
              <w:rFonts w:ascii="Rubik" w:eastAsia="Calibri" w:hAnsi="Rubik"/>
              <w:color w:val="000000" w:themeColor="text1"/>
              <w:sz w:val="24"/>
              <w:szCs w:val="24"/>
            </w:rPr>
          </w:pPr>
          <w:r w:rsidRPr="00584BCB">
            <w:rPr>
              <w:rFonts w:ascii="Rubik" w:eastAsia="Calibri" w:hAnsi="Rubik"/>
              <w:color w:val="000000" w:themeColor="text1"/>
              <w:sz w:val="24"/>
              <w:szCs w:val="24"/>
            </w:rPr>
            <w:t>The University of Melbourne</w:t>
          </w:r>
        </w:p>
      </w:sdtContent>
    </w:sdt>
    <w:bookmarkEnd w:id="47" w:displacedByCustomXml="prev"/>
    <w:bookmarkEnd w:id="48" w:displacedByCustomXml="prev"/>
    <w:bookmarkEnd w:id="49" w:displacedByCustomXml="prev"/>
    <w:bookmarkEnd w:id="50" w:displacedByCustomXml="prev"/>
    <w:p w14:paraId="6B2E20B2" w14:textId="6A30FBB3" w:rsidR="00666981" w:rsidRPr="00584BCB" w:rsidRDefault="00666981" w:rsidP="00325141">
      <w:pPr>
        <w:spacing w:after="160" w:line="276" w:lineRule="auto"/>
        <w:rPr>
          <w:rFonts w:ascii="Rubik" w:eastAsia="Calibri" w:hAnsi="Rubik" w:cs="Times New Roman"/>
          <w:color w:val="000000" w:themeColor="text1"/>
          <w:sz w:val="24"/>
          <w:szCs w:val="24"/>
          <w:lang w:val="nb-NO" w:eastAsia="en-US"/>
        </w:rPr>
      </w:pPr>
      <w:r w:rsidRPr="00584BCB">
        <w:rPr>
          <w:rFonts w:ascii="Rubik" w:eastAsia="Calibri" w:hAnsi="Rubik" w:cs="Times New Roman"/>
          <w:color w:val="000000" w:themeColor="text1"/>
          <w:sz w:val="24"/>
          <w:szCs w:val="24"/>
          <w:lang w:val="nb-NO" w:eastAsia="en-US"/>
        </w:rPr>
        <w:t>Professor Anne Kavanagh</w:t>
      </w:r>
      <w:r w:rsidR="00325141" w:rsidRPr="00584BCB">
        <w:rPr>
          <w:rFonts w:ascii="Rubik" w:eastAsia="Calibri" w:hAnsi="Rubik" w:cs="Times New Roman"/>
          <w:color w:val="000000" w:themeColor="text1"/>
          <w:sz w:val="24"/>
          <w:szCs w:val="24"/>
          <w:lang w:val="nb-NO" w:eastAsia="en-US"/>
        </w:rPr>
        <w:br/>
        <w:t>a.kavanagh@unimelb.edu.au</w:t>
      </w:r>
      <w:r w:rsidR="00325141" w:rsidRPr="00584BCB">
        <w:rPr>
          <w:rFonts w:ascii="Rubik" w:eastAsia="Times New Roman" w:hAnsi="Rubik" w:cs="Rubik"/>
          <w:color w:val="000000" w:themeColor="text1"/>
          <w:sz w:val="24"/>
          <w:szCs w:val="24"/>
          <w:lang w:val="nb-NO"/>
        </w:rPr>
        <w:t xml:space="preserve"> </w:t>
      </w:r>
      <w:r w:rsidR="00325141" w:rsidRPr="00584BCB">
        <w:rPr>
          <w:rFonts w:ascii="Rubik" w:eastAsia="Times New Roman" w:hAnsi="Rubik" w:cs="Rubik"/>
          <w:color w:val="000000" w:themeColor="text1"/>
          <w:sz w:val="24"/>
          <w:szCs w:val="24"/>
          <w:lang w:val="nb-NO"/>
        </w:rPr>
        <w:br/>
        <w:t>www.unimelb.edu.au</w:t>
      </w:r>
      <w:r w:rsidRPr="00584BCB">
        <w:rPr>
          <w:rFonts w:ascii="Rubik" w:eastAsia="Calibri" w:hAnsi="Rubik" w:cs="Times New Roman"/>
          <w:color w:val="000000" w:themeColor="text1"/>
          <w:sz w:val="24"/>
          <w:szCs w:val="24"/>
          <w:lang w:val="nb-NO" w:eastAsia="en-US"/>
        </w:rPr>
        <w:br/>
      </w:r>
    </w:p>
    <w:p w14:paraId="2D6C4533" w14:textId="32E8A17F"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0DC9D6A1"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6FD71CD7" w14:textId="07EDD606"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30C68625"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00C2B7A7"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76006B5C"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365F6703"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61A4929B" w14:textId="68EA4874"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6B76BA58"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20EB359B"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5B2D0D66"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2FBBD739" w14:textId="77777777"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2F26F8D8" w14:textId="194B1D31" w:rsidR="00666981" w:rsidRPr="00584BCB" w:rsidRDefault="00666981" w:rsidP="00666981">
      <w:pPr>
        <w:spacing w:after="160" w:line="259" w:lineRule="auto"/>
        <w:rPr>
          <w:rFonts w:ascii="Rubik" w:eastAsia="Calibri" w:hAnsi="Rubik" w:cs="Times New Roman"/>
          <w:color w:val="000000" w:themeColor="text1"/>
          <w:sz w:val="24"/>
          <w:szCs w:val="24"/>
          <w:lang w:val="nb-NO" w:eastAsia="en-US"/>
        </w:rPr>
      </w:pPr>
    </w:p>
    <w:p w14:paraId="306D23A8" w14:textId="301FAA40" w:rsidR="00666981" w:rsidRPr="00584BCB" w:rsidRDefault="00325141" w:rsidP="00325141">
      <w:pPr>
        <w:spacing w:after="160" w:line="259" w:lineRule="auto"/>
        <w:rPr>
          <w:rFonts w:ascii="Rubik" w:eastAsia="Calibri" w:hAnsi="Rubik" w:cs="Times New Roman"/>
          <w:color w:val="000000" w:themeColor="text1"/>
          <w:sz w:val="24"/>
          <w:szCs w:val="24"/>
          <w:lang w:val="nb-NO" w:eastAsia="en-US"/>
        </w:rPr>
      </w:pPr>
      <w:r w:rsidRPr="00584BCB">
        <w:rPr>
          <w:rFonts w:ascii="Rubik" w:eastAsia="Calibri" w:hAnsi="Rubik" w:cs="Times New Roman"/>
          <w:noProof/>
          <w:color w:val="000000" w:themeColor="text1"/>
          <w:sz w:val="24"/>
          <w:szCs w:val="24"/>
          <w:lang w:eastAsia="en-AU"/>
        </w:rPr>
        <w:drawing>
          <wp:inline distT="0" distB="0" distL="0" distR="0" wp14:anchorId="1C4E8C12" wp14:editId="4F796B6E">
            <wp:extent cx="1473200" cy="1473200"/>
            <wp:effectExtent l="0" t="0" r="0" b="0"/>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3200" cy="1473200"/>
                    </a:xfrm>
                    <a:prstGeom prst="rect">
                      <a:avLst/>
                    </a:prstGeom>
                  </pic:spPr>
                </pic:pic>
              </a:graphicData>
            </a:graphic>
          </wp:inline>
        </w:drawing>
      </w:r>
      <w:r w:rsidR="009C230E" w:rsidRPr="00584BCB">
        <w:rPr>
          <w:rFonts w:ascii="Rubik" w:eastAsia="Calibri" w:hAnsi="Rubik" w:cs="Times New Roman"/>
          <w:noProof/>
          <w:color w:val="000000" w:themeColor="text1"/>
          <w:sz w:val="24"/>
          <w:szCs w:val="24"/>
          <w:lang w:eastAsia="en-AU"/>
        </w:rPr>
        <w:drawing>
          <wp:inline distT="0" distB="0" distL="0" distR="0" wp14:anchorId="347B6123" wp14:editId="094B7030">
            <wp:extent cx="3530600" cy="863600"/>
            <wp:effectExtent l="0" t="0" r="0" b="0"/>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530600" cy="863600"/>
                    </a:xfrm>
                    <a:prstGeom prst="rect">
                      <a:avLst/>
                    </a:prstGeom>
                  </pic:spPr>
                </pic:pic>
              </a:graphicData>
            </a:graphic>
          </wp:inline>
        </w:drawing>
      </w:r>
    </w:p>
    <w:p w14:paraId="17FC071F" w14:textId="77777777" w:rsidR="00514A49" w:rsidRPr="00584BCB" w:rsidRDefault="00514A49">
      <w:pPr>
        <w:spacing w:after="160" w:line="259" w:lineRule="auto"/>
        <w:rPr>
          <w:rFonts w:ascii="Rubik" w:eastAsia="Calibri" w:hAnsi="Rubik" w:cs="Times New Roman"/>
          <w:color w:val="000000" w:themeColor="text1"/>
          <w:sz w:val="22"/>
          <w:lang w:val="nb-NO" w:eastAsia="en-US"/>
        </w:rPr>
      </w:pPr>
    </w:p>
    <w:sectPr w:rsidR="00514A49" w:rsidRPr="00584BCB" w:rsidSect="005D4BF8">
      <w:footerReference w:type="default" r:id="rId23"/>
      <w:footerReference w:type="first" r:id="rId24"/>
      <w:pgSz w:w="11906" w:h="16838" w:code="9"/>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7CFCF" w14:textId="77777777" w:rsidR="00CB4721" w:rsidRDefault="00CB4721" w:rsidP="00BC71CA">
      <w:pPr>
        <w:spacing w:after="0" w:line="240" w:lineRule="auto"/>
      </w:pPr>
      <w:r>
        <w:separator/>
      </w:r>
    </w:p>
  </w:endnote>
  <w:endnote w:type="continuationSeparator" w:id="0">
    <w:p w14:paraId="3F0974A7" w14:textId="77777777" w:rsidR="00CB4721" w:rsidRDefault="00CB4721" w:rsidP="00BC71CA">
      <w:pPr>
        <w:spacing w:after="0" w:line="240" w:lineRule="auto"/>
      </w:pPr>
      <w:r>
        <w:continuationSeparator/>
      </w:r>
    </w:p>
  </w:endnote>
  <w:endnote w:type="continuationNotice" w:id="1">
    <w:p w14:paraId="1C72150F" w14:textId="77777777" w:rsidR="00CB4721" w:rsidRDefault="00CB47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ubik Medium">
    <w:altName w:val="Rubik Medium"/>
    <w:panose1 w:val="00000000000000000000"/>
    <w:charset w:val="B1"/>
    <w:family w:val="auto"/>
    <w:pitch w:val="variable"/>
    <w:sig w:usb0="A0000A6F" w:usb1="4000205B" w:usb2="00000000" w:usb3="00000000" w:csb0="000000B7" w:csb1="00000000"/>
  </w:font>
  <w:font w:name="SimHei">
    <w:altName w:val="黑体"/>
    <w:panose1 w:val="02010609060101010101"/>
    <w:charset w:val="86"/>
    <w:family w:val="modern"/>
    <w:pitch w:val="fixed"/>
    <w:sig w:usb0="800002BF" w:usb1="38CF7CFA" w:usb2="00000016" w:usb3="00000000" w:csb0="00040001" w:csb1="00000000"/>
  </w:font>
  <w:font w:name="Times New Roman Bold">
    <w:altName w:val="Times New Roman"/>
    <w:panose1 w:val="020B0604020202020204"/>
    <w:charset w:val="00"/>
    <w:family w:val="auto"/>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Rubik">
    <w:altName w:val="Rubik"/>
    <w:panose1 w:val="00000000000000000000"/>
    <w:charset w:val="B1"/>
    <w:family w:val="auto"/>
    <w:pitch w:val="variable"/>
    <w:sig w:usb0="A0000A6F" w:usb1="4000205B" w:usb2="00000000" w:usb3="00000000" w:csb0="000000B7"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Rubik Light">
    <w:altName w:val="Rubik Light"/>
    <w:panose1 w:val="00000000000000000000"/>
    <w:charset w:val="B1"/>
    <w:family w:val="auto"/>
    <w:pitch w:val="variable"/>
    <w:sig w:usb0="A0000A6F" w:usb1="4000205B" w:usb2="00000000" w:usb3="00000000" w:csb0="000000B7" w:csb1="00000000"/>
  </w:font>
  <w:font w:name="RubikRoman-Light">
    <w:altName w:val="Arial"/>
    <w:panose1 w:val="00000000000000000000"/>
    <w:charset w:val="B1"/>
    <w:family w:val="auto"/>
    <w:pitch w:val="variable"/>
    <w:sig w:usb0="A0000A6F" w:usb1="4000205B" w:usb2="00000000" w:usb3="00000000" w:csb0="000000B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88956361"/>
      <w:docPartObj>
        <w:docPartGallery w:val="Page Numbers (Bottom of Page)"/>
        <w:docPartUnique/>
      </w:docPartObj>
    </w:sdtPr>
    <w:sdtEndPr>
      <w:rPr>
        <w:rStyle w:val="PageNumber"/>
      </w:rPr>
    </w:sdtEndPr>
    <w:sdtContent>
      <w:p w14:paraId="4ADD5353" w14:textId="050039D7" w:rsidR="008D7089" w:rsidRDefault="008D7089" w:rsidP="0075350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53209C8" w14:textId="77777777" w:rsidR="008D7089" w:rsidRDefault="008D7089" w:rsidP="005C4F2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EAD64" w14:textId="77777777" w:rsidR="008D7089" w:rsidRDefault="008D7089">
    <w:r>
      <w:cr/>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A4D12" w14:textId="70512F11" w:rsidR="008D7089" w:rsidRPr="005C4F22" w:rsidRDefault="008D7089" w:rsidP="00147D46">
    <w:pPr>
      <w:pStyle w:val="Footer"/>
      <w:rPr>
        <w:rFonts w:ascii="Rubik" w:hAnsi="Rubik"/>
        <w:color w:val="033834"/>
        <w:sz w:val="18"/>
      </w:rPr>
    </w:pPr>
    <w:r w:rsidRPr="005C4F22">
      <w:rPr>
        <w:rFonts w:ascii="Rubik" w:hAnsi="Rubik"/>
        <w:color w:val="033834"/>
        <w:sz w:val="18"/>
      </w:rPr>
      <w:t>Systematic Review</w:t>
    </w:r>
    <w:r>
      <w:rPr>
        <w:rFonts w:ascii="Rubik" w:hAnsi="Rubik"/>
        <w:color w:val="033834"/>
        <w:sz w:val="18"/>
      </w:rPr>
      <w:t xml:space="preserve"> Technical Report</w:t>
    </w:r>
    <w:r w:rsidRPr="005C4F22">
      <w:rPr>
        <w:rFonts w:ascii="Rubik" w:hAnsi="Rubik"/>
        <w:color w:val="033834"/>
        <w:sz w:val="18"/>
      </w:rPr>
      <w:tab/>
    </w:r>
    <w:r w:rsidR="005C3239">
      <w:rPr>
        <w:rFonts w:ascii="Rubik" w:hAnsi="Rubik"/>
        <w:color w:val="033834"/>
        <w:sz w:val="18"/>
      </w:rPr>
      <w:tab/>
    </w:r>
    <w:r w:rsidR="005C3239">
      <w:rPr>
        <w:rFonts w:ascii="Rubik" w:hAnsi="Rubik"/>
        <w:color w:val="033834"/>
        <w:sz w:val="18"/>
      </w:rPr>
      <w:tab/>
    </w:r>
    <w:r w:rsidR="005C3239">
      <w:rPr>
        <w:rFonts w:ascii="Rubik" w:hAnsi="Rubik"/>
        <w:color w:val="033834"/>
        <w:sz w:val="18"/>
      </w:rPr>
      <w:tab/>
    </w:r>
    <w:r w:rsidR="005C3239">
      <w:rPr>
        <w:rFonts w:ascii="Rubik" w:hAnsi="Rubik"/>
        <w:color w:val="033834"/>
        <w:sz w:val="18"/>
      </w:rPr>
      <w:tab/>
    </w:r>
    <w:r w:rsidR="005C3239">
      <w:rPr>
        <w:rFonts w:ascii="Rubik" w:hAnsi="Rubik"/>
        <w:color w:val="033834"/>
        <w:sz w:val="18"/>
      </w:rPr>
      <w:tab/>
    </w:r>
    <w:r w:rsidR="005C3239">
      <w:rPr>
        <w:rFonts w:ascii="Rubik" w:hAnsi="Rubik"/>
        <w:color w:val="033834"/>
        <w:sz w:val="18"/>
      </w:rPr>
      <w:tab/>
    </w:r>
    <w:r w:rsidRPr="005C4F22">
      <w:rPr>
        <w:rFonts w:ascii="Rubik" w:hAnsi="Rubik"/>
        <w:color w:val="033834"/>
        <w:sz w:val="18"/>
      </w:rPr>
      <w:tab/>
      <w:t xml:space="preserve"> </w:t>
    </w:r>
    <w:sdt>
      <w:sdtPr>
        <w:rPr>
          <w:rStyle w:val="PageNumber"/>
        </w:rPr>
        <w:id w:val="-1960789727"/>
        <w:docPartObj>
          <w:docPartGallery w:val="Page Numbers (Bottom of Page)"/>
          <w:docPartUnique/>
        </w:docPartObj>
      </w:sdtPr>
      <w:sdtEndPr>
        <w:rPr>
          <w:rStyle w:val="PageNumber"/>
          <w:rFonts w:ascii="Rubik" w:hAnsi="Rubik"/>
          <w:color w:val="033834"/>
          <w:sz w:val="18"/>
        </w:rPr>
      </w:sdtEndPr>
      <w:sdtContent>
        <w:r w:rsidRPr="005C4F22">
          <w:rPr>
            <w:rStyle w:val="PageNumber"/>
            <w:rFonts w:ascii="Rubik" w:hAnsi="Rubik"/>
            <w:color w:val="033834"/>
            <w:sz w:val="18"/>
          </w:rPr>
          <w:fldChar w:fldCharType="begin"/>
        </w:r>
        <w:r w:rsidRPr="005C4F22">
          <w:rPr>
            <w:rStyle w:val="PageNumber"/>
            <w:rFonts w:ascii="Rubik" w:hAnsi="Rubik"/>
            <w:color w:val="033834"/>
            <w:sz w:val="18"/>
          </w:rPr>
          <w:instrText xml:space="preserve"> PAGE </w:instrText>
        </w:r>
        <w:r w:rsidRPr="005C4F22">
          <w:rPr>
            <w:rStyle w:val="PageNumber"/>
            <w:rFonts w:ascii="Rubik" w:hAnsi="Rubik"/>
            <w:color w:val="033834"/>
            <w:sz w:val="18"/>
          </w:rPr>
          <w:fldChar w:fldCharType="separate"/>
        </w:r>
        <w:r w:rsidR="005303CF">
          <w:rPr>
            <w:rStyle w:val="PageNumber"/>
            <w:rFonts w:ascii="Rubik" w:hAnsi="Rubik"/>
            <w:noProof/>
            <w:color w:val="033834"/>
            <w:sz w:val="18"/>
          </w:rPr>
          <w:t>17</w:t>
        </w:r>
        <w:r w:rsidRPr="005C4F22">
          <w:rPr>
            <w:rStyle w:val="PageNumber"/>
            <w:rFonts w:ascii="Rubik" w:hAnsi="Rubik"/>
            <w:color w:val="033834"/>
            <w:sz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EDD5" w14:textId="0F49B6C0" w:rsidR="008D7089" w:rsidRDefault="008D7089" w:rsidP="00B241F2">
    <w:pPr>
      <w:pStyle w:val="Footer"/>
    </w:pPr>
    <w:r>
      <w:rPr>
        <w:noProof/>
        <w:lang w:eastAsia="en-AU"/>
      </w:rPr>
      <mc:AlternateContent>
        <mc:Choice Requires="wps">
          <w:drawing>
            <wp:anchor distT="0" distB="0" distL="114300" distR="114300" simplePos="0" relativeHeight="251658241" behindDoc="0" locked="1" layoutInCell="1" allowOverlap="1" wp14:anchorId="6823B18A" wp14:editId="3C5EF8DD">
              <wp:simplePos x="0" y="0"/>
              <wp:positionH relativeFrom="page">
                <wp:align>right</wp:align>
              </wp:positionH>
              <wp:positionV relativeFrom="page">
                <wp:align>bottom</wp:align>
              </wp:positionV>
              <wp:extent cx="720000" cy="756000"/>
              <wp:effectExtent l="0" t="0" r="4445" b="6350"/>
              <wp:wrapNone/>
              <wp:docPr id="36" name="Block"/>
              <wp:cNvGraphicFramePr/>
              <a:graphic xmlns:a="http://schemas.openxmlformats.org/drawingml/2006/main">
                <a:graphicData uri="http://schemas.microsoft.com/office/word/2010/wordprocessingShape">
                  <wps:wsp>
                    <wps:cNvSpPr/>
                    <wps:spPr>
                      <a:xfrm>
                        <a:off x="0" y="0"/>
                        <a:ext cx="720000" cy="756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w14:anchorId="3DFE1540">
            <v:rect id="Block" style="position:absolute;margin-left:5.5pt;margin-top:0;width:56.7pt;height:59.55pt;z-index:251661312;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middle" o:spid="_x0000_s1026" fillcolor="white [3212]" stroked="f" strokeweight="1pt" w14:anchorId="10F4EB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">
              <w10:wrap anchorx="page" anchory="page"/>
              <w10:anchorlock/>
            </v:rect>
          </w:pict>
        </mc:Fallback>
      </mc:AlternateContent>
    </w:r>
    <w:r>
      <w:rPr>
        <w:noProof/>
        <w:lang w:eastAsia="en-AU"/>
      </w:rPr>
      <mc:AlternateContent>
        <mc:Choice Requires="wps">
          <w:drawing>
            <wp:anchor distT="0" distB="0" distL="114300" distR="114300" simplePos="0" relativeHeight="251658240" behindDoc="0" locked="1" layoutInCell="1" allowOverlap="1" wp14:anchorId="227E082F" wp14:editId="580CBB01">
              <wp:simplePos x="0" y="0"/>
              <wp:positionH relativeFrom="margin">
                <wp:align>left</wp:align>
              </wp:positionH>
              <wp:positionV relativeFrom="margin">
                <wp:align>bottom</wp:align>
              </wp:positionV>
              <wp:extent cx="9252000" cy="0"/>
              <wp:effectExtent l="0" t="0" r="0" b="0"/>
              <wp:wrapNone/>
              <wp:docPr id="35" name="Keyline"/>
              <wp:cNvGraphicFramePr/>
              <a:graphic xmlns:a="http://schemas.openxmlformats.org/drawingml/2006/main">
                <a:graphicData uri="http://schemas.microsoft.com/office/word/2010/wordprocessingShape">
                  <wps:wsp>
                    <wps:cNvCnPr/>
                    <wps:spPr>
                      <a:xfrm>
                        <a:off x="0" y="0"/>
                        <a:ext cx="9252000" cy="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w:pict w14:anchorId="609A736D">
            <v:line id="Keyline" style="position:absolute;z-index:251660288;visibility:visible;mso-wrap-style:square;mso-width-percent:0;mso-wrap-distance-left:9pt;mso-wrap-distance-top:0;mso-wrap-distance-right:9pt;mso-wrap-distance-bottom:0;mso-position-horizontal:left;mso-position-horizontal-relative:margin;mso-position-vertical:bottom;mso-position-vertical-relative:margin;mso-width-percent:0;mso-width-relative:margin" o:spid="_x0000_s1026" strokecolor="#094183 [3215]" strokeweight=".5pt" from="0,0" to="728.5pt,0" w14:anchorId="7B1D88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">
              <v:stroke joinstyle="miter"/>
              <w10:wrap anchorx="margin" anchory="margin"/>
              <w10:anchorlock/>
            </v:line>
          </w:pict>
        </mc:Fallback>
      </mc:AlternateContent>
    </w:r>
  </w:p>
  <w:p w14:paraId="16F9A49A" w14:textId="326729CF" w:rsidR="008D7089" w:rsidRPr="001C3592" w:rsidRDefault="008D7089" w:rsidP="009E7861">
    <w:pPr>
      <w:pStyle w:val="Footerright"/>
      <w:framePr w:wrap="around"/>
      <w:rPr>
        <w:rFonts w:ascii="Rubik" w:hAnsi="Rubik"/>
        <w:color w:val="295D5B"/>
      </w:rPr>
    </w:pPr>
    <w:r w:rsidRPr="001C3592">
      <w:rPr>
        <w:rFonts w:ascii="Rubik" w:hAnsi="Rubik"/>
        <w:color w:val="295D5B"/>
      </w:rPr>
      <w:fldChar w:fldCharType="begin"/>
    </w:r>
    <w:r w:rsidRPr="001C3592">
      <w:rPr>
        <w:rFonts w:ascii="Rubik" w:hAnsi="Rubik"/>
        <w:color w:val="295D5B"/>
      </w:rPr>
      <w:instrText xml:space="preserve"> PAGE  \* Arabic  \* MERGEFORMAT </w:instrText>
    </w:r>
    <w:r w:rsidRPr="001C3592">
      <w:rPr>
        <w:rFonts w:ascii="Rubik" w:hAnsi="Rubik"/>
        <w:color w:val="295D5B"/>
      </w:rPr>
      <w:fldChar w:fldCharType="separate"/>
    </w:r>
    <w:r w:rsidR="005303CF">
      <w:rPr>
        <w:rFonts w:ascii="Rubik" w:hAnsi="Rubik"/>
        <w:noProof/>
        <w:color w:val="295D5B"/>
      </w:rPr>
      <w:t>65</w:t>
    </w:r>
    <w:r w:rsidRPr="001C3592">
      <w:rPr>
        <w:rFonts w:ascii="Rubik" w:hAnsi="Rubik"/>
        <w:color w:val="295D5B"/>
      </w:rPr>
      <w:fldChar w:fldCharType="end"/>
    </w:r>
    <w:r w:rsidRPr="001C3592">
      <w:rPr>
        <w:rFonts w:ascii="Rubik" w:hAnsi="Rubik"/>
        <w:color w:val="295D5B"/>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5FEC" w14:textId="7735D887" w:rsidR="008D7089" w:rsidRDefault="008D7089" w:rsidP="007F1B2F">
    <w:pPr>
      <w:pStyle w:val="Footer"/>
    </w:pPr>
    <w:r>
      <w:t xml:space="preserve"> </w:t>
    </w:r>
    <w:sdt>
      <w:sdtPr>
        <w:rPr>
          <w:rFonts w:ascii="Rubik" w:hAnsi="Rubik"/>
          <w:color w:val="033834"/>
          <w:sz w:val="18"/>
        </w:rPr>
        <w:alias w:val="Title"/>
        <w:tag w:val=""/>
        <w:id w:val="-1372608235"/>
        <w:placeholder>
          <w:docPart w:val="25CA44B882583941BAC1435015F4704D"/>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Rubik" w:hAnsi="Rubik"/>
            <w:color w:val="033834"/>
            <w:sz w:val="18"/>
          </w:rPr>
          <w:t>Systematic Review Technical Report – Supplementary Files</w:t>
        </w:r>
      </w:sdtContent>
    </w:sdt>
  </w:p>
  <w:p w14:paraId="6207DF10" w14:textId="50D5F22C" w:rsidR="008D7089" w:rsidRPr="007F4A4A" w:rsidRDefault="008D7089" w:rsidP="007F4A4A">
    <w:pPr>
      <w:pStyle w:val="Footerright"/>
      <w:framePr w:wrap="around"/>
      <w:rPr>
        <w:rFonts w:ascii="Rubik" w:hAnsi="Rubik"/>
      </w:rPr>
    </w:pPr>
    <w:r w:rsidRPr="007F4A4A">
      <w:rPr>
        <w:rFonts w:ascii="Rubik" w:hAnsi="Rubik"/>
      </w:rPr>
      <w:fldChar w:fldCharType="begin"/>
    </w:r>
    <w:r w:rsidRPr="007F4A4A">
      <w:rPr>
        <w:rFonts w:ascii="Rubik" w:hAnsi="Rubik"/>
      </w:rPr>
      <w:instrText xml:space="preserve"> PAGE  \* Arabic  \* MERGEFORMAT </w:instrText>
    </w:r>
    <w:r w:rsidRPr="007F4A4A">
      <w:rPr>
        <w:rFonts w:ascii="Rubik" w:hAnsi="Rubik"/>
      </w:rPr>
      <w:fldChar w:fldCharType="separate"/>
    </w:r>
    <w:r w:rsidR="005303CF">
      <w:rPr>
        <w:rFonts w:ascii="Rubik" w:hAnsi="Rubik"/>
        <w:noProof/>
      </w:rPr>
      <w:t>51</w:t>
    </w:r>
    <w:r w:rsidRPr="007F4A4A">
      <w:rPr>
        <w:rFonts w:ascii="Rubik" w:hAnsi="Rubik"/>
      </w:rPr>
      <w:fldChar w:fldCharType="end"/>
    </w:r>
    <w:r w:rsidRPr="007F4A4A">
      <w:rPr>
        <w:rFonts w:ascii="Rubik" w:hAnsi="Rubik"/>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FCA9D9" w14:textId="77777777" w:rsidR="00CB4721" w:rsidRDefault="00CB4721" w:rsidP="00BC71CA">
      <w:pPr>
        <w:spacing w:after="0" w:line="240" w:lineRule="auto"/>
      </w:pPr>
      <w:r>
        <w:separator/>
      </w:r>
    </w:p>
  </w:footnote>
  <w:footnote w:type="continuationSeparator" w:id="0">
    <w:p w14:paraId="4BB4001D" w14:textId="77777777" w:rsidR="00CB4721" w:rsidRDefault="00CB4721" w:rsidP="00BC71CA">
      <w:pPr>
        <w:spacing w:after="0" w:line="240" w:lineRule="auto"/>
      </w:pPr>
      <w:r>
        <w:continuationSeparator/>
      </w:r>
    </w:p>
  </w:footnote>
  <w:footnote w:type="continuationNotice" w:id="1">
    <w:p w14:paraId="53734F07" w14:textId="77777777" w:rsidR="00CB4721" w:rsidRDefault="00CB472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3DC8B" w14:textId="196D4262" w:rsidR="008D7089" w:rsidRPr="008A031E" w:rsidRDefault="008D7089" w:rsidP="00C44544">
    <w:pPr>
      <w:pStyle w:val="Caption"/>
      <w:rPr>
        <w:rFonts w:ascii="Rubik" w:hAnsi="Rubik"/>
        <w:bCs/>
        <w:color w:val="000000" w:themeColor="text1"/>
        <w:sz w:val="22"/>
        <w:szCs w:val="22"/>
      </w:rPr>
    </w:pPr>
    <w:r w:rsidRPr="008A031E">
      <w:rPr>
        <w:rFonts w:ascii="Rubik" w:hAnsi="Rubik"/>
        <w:bCs/>
        <w:color w:val="000000" w:themeColor="text1"/>
        <w:sz w:val="22"/>
        <w:szCs w:val="22"/>
      </w:rPr>
      <w:t>Table 1. Characteristics of included studies with people with psychosocial disability</w:t>
    </w:r>
    <w:r>
      <w:rPr>
        <w:rFonts w:ascii="Rubik" w:hAnsi="Rubik"/>
        <w:bCs/>
        <w:color w:val="000000" w:themeColor="text1"/>
        <w:sz w:val="22"/>
        <w:szCs w:val="22"/>
      </w:rPr>
      <w:t xml:space="preserve"> (continued)</w:t>
    </w:r>
  </w:p>
  <w:p w14:paraId="0D6E16F8" w14:textId="77777777" w:rsidR="008D7089" w:rsidRDefault="008D70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8D5F72" w14:textId="74B7AC0B" w:rsidR="008D7089" w:rsidRPr="00F70676" w:rsidRDefault="008D7089" w:rsidP="00F7067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5D2A1" w14:textId="77777777" w:rsidR="008D7089" w:rsidRPr="008A031E" w:rsidRDefault="008D7089" w:rsidP="009340DA">
    <w:pPr>
      <w:pStyle w:val="Caption"/>
      <w:rPr>
        <w:rFonts w:ascii="Rubik" w:hAnsi="Rubik"/>
        <w:bCs/>
        <w:color w:val="000000" w:themeColor="text1"/>
        <w:sz w:val="22"/>
        <w:szCs w:val="22"/>
      </w:rPr>
    </w:pPr>
    <w:r w:rsidRPr="008A031E">
      <w:rPr>
        <w:rFonts w:ascii="Rubik" w:hAnsi="Rubik"/>
        <w:bCs/>
        <w:color w:val="000000" w:themeColor="text1"/>
        <w:sz w:val="22"/>
        <w:szCs w:val="22"/>
      </w:rPr>
      <w:t>Table 5. Interventions and outcomes of included studies with people with psychosocial disability</w:t>
    </w:r>
  </w:p>
  <w:p w14:paraId="39B5AC40" w14:textId="231092EC" w:rsidR="008D7089" w:rsidRPr="009340DA" w:rsidRDefault="008D7089" w:rsidP="009340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255CF" w14:textId="4B01C1D5" w:rsidR="008D7089" w:rsidRPr="009340DA" w:rsidRDefault="008D7089" w:rsidP="00035C17">
    <w:pPr>
      <w:pStyle w:val="Caption"/>
    </w:pPr>
    <w:r w:rsidRPr="008A031E">
      <w:rPr>
        <w:rFonts w:ascii="Rubik" w:hAnsi="Rubik"/>
        <w:bCs/>
        <w:color w:val="000000" w:themeColor="text1"/>
        <w:sz w:val="22"/>
        <w:szCs w:val="22"/>
      </w:rPr>
      <w:t>Table 5. Interventions and outcomes of included studies with people with psychosocial disability</w:t>
    </w:r>
    <w:r>
      <w:rPr>
        <w:rFonts w:ascii="Rubik" w:hAnsi="Rubik"/>
        <w:bCs/>
        <w:color w:val="000000" w:themeColor="text1"/>
        <w:sz w:val="22"/>
        <w:szCs w:val="22"/>
      </w:rPr>
      <w:t xml:space="preserve"> (continued)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1C061" w14:textId="6E265858" w:rsidR="008D7089" w:rsidRPr="007D71E0" w:rsidRDefault="008D7089" w:rsidP="007D71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F478E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F342AB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042C9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7F878F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E69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34CB9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9A4D5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8098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65AF7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7A2838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01DFC"/>
    <w:multiLevelType w:val="hybridMultilevel"/>
    <w:tmpl w:val="C3B0CDD2"/>
    <w:lvl w:ilvl="0" w:tplc="8CDC3628">
      <w:start w:val="1"/>
      <w:numFmt w:val="bullet"/>
      <w:pStyle w:val="Pull-outBullets"/>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2DC5F4D"/>
    <w:multiLevelType w:val="hybridMultilevel"/>
    <w:tmpl w:val="C6622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3038C8"/>
    <w:multiLevelType w:val="multilevel"/>
    <w:tmpl w:val="B0A2C476"/>
    <w:styleLink w:val="NumberedList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0FBC4AC1"/>
    <w:multiLevelType w:val="multilevel"/>
    <w:tmpl w:val="F29613D6"/>
    <w:styleLink w:val="Appendix"/>
    <w:lvl w:ilvl="0">
      <w:start w:val="1"/>
      <w:numFmt w:val="decimal"/>
      <w:lvlText w:val="Appendix %1:"/>
      <w:lvlJc w:val="left"/>
      <w:pPr>
        <w:tabs>
          <w:tab w:val="num" w:pos="1985"/>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3AD0821"/>
    <w:multiLevelType w:val="hybridMultilevel"/>
    <w:tmpl w:val="2E3AF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80432"/>
    <w:multiLevelType w:val="multilevel"/>
    <w:tmpl w:val="61C2EDDE"/>
    <w:lvl w:ilvl="0">
      <w:start w:val="1"/>
      <w:numFmt w:val="decimal"/>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1C87A37"/>
    <w:multiLevelType w:val="hybridMultilevel"/>
    <w:tmpl w:val="D68419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21F1D0F"/>
    <w:multiLevelType w:val="multilevel"/>
    <w:tmpl w:val="813A2DA6"/>
    <w:numStyleLink w:val="Bullets1"/>
  </w:abstractNum>
  <w:abstractNum w:abstractNumId="18" w15:restartNumberingAfterBreak="0">
    <w:nsid w:val="336268E0"/>
    <w:multiLevelType w:val="multilevel"/>
    <w:tmpl w:val="C62C2DAC"/>
    <w:numStyleLink w:val="NumberedHeadings"/>
  </w:abstractNum>
  <w:abstractNum w:abstractNumId="19" w15:restartNumberingAfterBreak="0">
    <w:nsid w:val="34991E09"/>
    <w:multiLevelType w:val="multilevel"/>
    <w:tmpl w:val="C62C2DAC"/>
    <w:styleLink w:val="NumberedHeadings"/>
    <w:lvl w:ilvl="0">
      <w:start w:val="1"/>
      <w:numFmt w:val="decimal"/>
      <w:lvlText w:val="%1."/>
      <w:lvlJc w:val="left"/>
      <w:pPr>
        <w:ind w:left="340" w:hanging="34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C474E9"/>
    <w:multiLevelType w:val="hybridMultilevel"/>
    <w:tmpl w:val="DB2A726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91B77EC"/>
    <w:multiLevelType w:val="multilevel"/>
    <w:tmpl w:val="B0A2C476"/>
    <w:numStyleLink w:val="NumberedLists"/>
  </w:abstractNum>
  <w:abstractNum w:abstractNumId="22" w15:restartNumberingAfterBreak="0">
    <w:nsid w:val="397D293F"/>
    <w:multiLevelType w:val="multilevel"/>
    <w:tmpl w:val="F29613D6"/>
    <w:numStyleLink w:val="Appendix"/>
  </w:abstractNum>
  <w:abstractNum w:abstractNumId="23" w15:restartNumberingAfterBreak="0">
    <w:nsid w:val="3A0056B5"/>
    <w:multiLevelType w:val="multilevel"/>
    <w:tmpl w:val="F29613D6"/>
    <w:numStyleLink w:val="Appendix"/>
  </w:abstractNum>
  <w:abstractNum w:abstractNumId="24" w15:restartNumberingAfterBreak="0">
    <w:nsid w:val="3D6046CD"/>
    <w:multiLevelType w:val="multilevel"/>
    <w:tmpl w:val="7C3460B6"/>
    <w:numStyleLink w:val="Bullets"/>
  </w:abstractNum>
  <w:abstractNum w:abstractNumId="25" w15:restartNumberingAfterBreak="0">
    <w:nsid w:val="3E917C2E"/>
    <w:multiLevelType w:val="multilevel"/>
    <w:tmpl w:val="B0A2C476"/>
    <w:numStyleLink w:val="NumberedLists"/>
  </w:abstractNum>
  <w:abstractNum w:abstractNumId="26" w15:restartNumberingAfterBreak="0">
    <w:nsid w:val="3EAA4650"/>
    <w:multiLevelType w:val="hybridMultilevel"/>
    <w:tmpl w:val="38DCA24E"/>
    <w:lvl w:ilvl="0" w:tplc="1FFA01EE">
      <w:start w:val="1"/>
      <w:numFmt w:val="bullet"/>
      <w:lvlText w:val=""/>
      <w:lvlJc w:val="left"/>
      <w:pPr>
        <w:ind w:left="918" w:hanging="360"/>
      </w:pPr>
      <w:rPr>
        <w:rFonts w:ascii="Symbol" w:hAnsi="Symbol" w:hint="default"/>
      </w:rPr>
    </w:lvl>
    <w:lvl w:ilvl="1" w:tplc="08090003" w:tentative="1">
      <w:start w:val="1"/>
      <w:numFmt w:val="bullet"/>
      <w:lvlText w:val="o"/>
      <w:lvlJc w:val="left"/>
      <w:pPr>
        <w:ind w:left="1638" w:hanging="360"/>
      </w:pPr>
      <w:rPr>
        <w:rFonts w:ascii="Courier New" w:hAnsi="Courier New" w:cs="Courier New" w:hint="default"/>
      </w:rPr>
    </w:lvl>
    <w:lvl w:ilvl="2" w:tplc="08090005" w:tentative="1">
      <w:start w:val="1"/>
      <w:numFmt w:val="bullet"/>
      <w:lvlText w:val=""/>
      <w:lvlJc w:val="left"/>
      <w:pPr>
        <w:ind w:left="2358" w:hanging="360"/>
      </w:pPr>
      <w:rPr>
        <w:rFonts w:ascii="Wingdings" w:hAnsi="Wingdings" w:hint="default"/>
      </w:rPr>
    </w:lvl>
    <w:lvl w:ilvl="3" w:tplc="08090001" w:tentative="1">
      <w:start w:val="1"/>
      <w:numFmt w:val="bullet"/>
      <w:lvlText w:val=""/>
      <w:lvlJc w:val="left"/>
      <w:pPr>
        <w:ind w:left="3078" w:hanging="360"/>
      </w:pPr>
      <w:rPr>
        <w:rFonts w:ascii="Symbol" w:hAnsi="Symbol" w:hint="default"/>
      </w:rPr>
    </w:lvl>
    <w:lvl w:ilvl="4" w:tplc="08090003" w:tentative="1">
      <w:start w:val="1"/>
      <w:numFmt w:val="bullet"/>
      <w:lvlText w:val="o"/>
      <w:lvlJc w:val="left"/>
      <w:pPr>
        <w:ind w:left="3798" w:hanging="360"/>
      </w:pPr>
      <w:rPr>
        <w:rFonts w:ascii="Courier New" w:hAnsi="Courier New" w:cs="Courier New" w:hint="default"/>
      </w:rPr>
    </w:lvl>
    <w:lvl w:ilvl="5" w:tplc="08090005" w:tentative="1">
      <w:start w:val="1"/>
      <w:numFmt w:val="bullet"/>
      <w:lvlText w:val=""/>
      <w:lvlJc w:val="left"/>
      <w:pPr>
        <w:ind w:left="4518" w:hanging="360"/>
      </w:pPr>
      <w:rPr>
        <w:rFonts w:ascii="Wingdings" w:hAnsi="Wingdings" w:hint="default"/>
      </w:rPr>
    </w:lvl>
    <w:lvl w:ilvl="6" w:tplc="08090001" w:tentative="1">
      <w:start w:val="1"/>
      <w:numFmt w:val="bullet"/>
      <w:lvlText w:val=""/>
      <w:lvlJc w:val="left"/>
      <w:pPr>
        <w:ind w:left="5238" w:hanging="360"/>
      </w:pPr>
      <w:rPr>
        <w:rFonts w:ascii="Symbol" w:hAnsi="Symbol" w:hint="default"/>
      </w:rPr>
    </w:lvl>
    <w:lvl w:ilvl="7" w:tplc="08090003" w:tentative="1">
      <w:start w:val="1"/>
      <w:numFmt w:val="bullet"/>
      <w:lvlText w:val="o"/>
      <w:lvlJc w:val="left"/>
      <w:pPr>
        <w:ind w:left="5958" w:hanging="360"/>
      </w:pPr>
      <w:rPr>
        <w:rFonts w:ascii="Courier New" w:hAnsi="Courier New" w:cs="Courier New" w:hint="default"/>
      </w:rPr>
    </w:lvl>
    <w:lvl w:ilvl="8" w:tplc="08090005" w:tentative="1">
      <w:start w:val="1"/>
      <w:numFmt w:val="bullet"/>
      <w:lvlText w:val=""/>
      <w:lvlJc w:val="left"/>
      <w:pPr>
        <w:ind w:left="6678" w:hanging="360"/>
      </w:pPr>
      <w:rPr>
        <w:rFonts w:ascii="Wingdings" w:hAnsi="Wingdings" w:hint="default"/>
      </w:rPr>
    </w:lvl>
  </w:abstractNum>
  <w:abstractNum w:abstractNumId="27" w15:restartNumberingAfterBreak="0">
    <w:nsid w:val="443D0CBD"/>
    <w:multiLevelType w:val="hybridMultilevel"/>
    <w:tmpl w:val="F29613D6"/>
    <w:numStyleLink w:val="Appendix"/>
  </w:abstractNum>
  <w:abstractNum w:abstractNumId="28" w15:restartNumberingAfterBreak="0">
    <w:nsid w:val="45A34C85"/>
    <w:multiLevelType w:val="hybridMultilevel"/>
    <w:tmpl w:val="F29613D6"/>
    <w:numStyleLink w:val="Appendix"/>
  </w:abstractNum>
  <w:abstractNum w:abstractNumId="29" w15:restartNumberingAfterBreak="0">
    <w:nsid w:val="47D75995"/>
    <w:multiLevelType w:val="multilevel"/>
    <w:tmpl w:val="C62C2DAC"/>
    <w:numStyleLink w:val="NumberedHeadings"/>
  </w:abstractNum>
  <w:abstractNum w:abstractNumId="30" w15:restartNumberingAfterBreak="0">
    <w:nsid w:val="499D423A"/>
    <w:multiLevelType w:val="hybridMultilevel"/>
    <w:tmpl w:val="7C3460B6"/>
    <w:styleLink w:val="Bullets"/>
    <w:lvl w:ilvl="0" w:tplc="7E7266FC">
      <w:start w:val="1"/>
      <w:numFmt w:val="bullet"/>
      <w:lvlText w:val=""/>
      <w:lvlJc w:val="left"/>
      <w:pPr>
        <w:ind w:left="340" w:hanging="340"/>
      </w:pPr>
      <w:rPr>
        <w:rFonts w:ascii="Symbol" w:hAnsi="Symbol" w:hint="default"/>
      </w:rPr>
    </w:lvl>
    <w:lvl w:ilvl="1" w:tplc="5C2A4940">
      <w:start w:val="1"/>
      <w:numFmt w:val="bullet"/>
      <w:lvlText w:val="–"/>
      <w:lvlJc w:val="left"/>
      <w:pPr>
        <w:ind w:left="680" w:hanging="340"/>
      </w:pPr>
      <w:rPr>
        <w:rFonts w:ascii="Calibri" w:hAnsi="Calibri" w:hint="default"/>
      </w:rPr>
    </w:lvl>
    <w:lvl w:ilvl="2" w:tplc="8A3A4862">
      <w:start w:val="1"/>
      <w:numFmt w:val="bullet"/>
      <w:lvlText w:val=""/>
      <w:lvlJc w:val="left"/>
      <w:pPr>
        <w:ind w:left="1021" w:hanging="341"/>
      </w:pPr>
      <w:rPr>
        <w:rFonts w:ascii="Symbol" w:hAnsi="Symbol" w:hint="default"/>
      </w:rPr>
    </w:lvl>
    <w:lvl w:ilvl="3" w:tplc="3D72B876">
      <w:start w:val="1"/>
      <w:numFmt w:val="bullet"/>
      <w:lvlText w:val="–"/>
      <w:lvlJc w:val="left"/>
      <w:pPr>
        <w:ind w:left="1361" w:hanging="340"/>
      </w:pPr>
      <w:rPr>
        <w:rFonts w:ascii="Times New Roman" w:hAnsi="Times New Roman" w:cs="Times New Roman" w:hint="default"/>
      </w:rPr>
    </w:lvl>
    <w:lvl w:ilvl="4" w:tplc="0BC0465C">
      <w:start w:val="1"/>
      <w:numFmt w:val="bullet"/>
      <w:lvlText w:val="o"/>
      <w:lvlJc w:val="left"/>
      <w:pPr>
        <w:ind w:left="3600" w:hanging="360"/>
      </w:pPr>
      <w:rPr>
        <w:rFonts w:ascii="Courier New" w:hAnsi="Courier New" w:cs="Courier New" w:hint="default"/>
      </w:rPr>
    </w:lvl>
    <w:lvl w:ilvl="5" w:tplc="CBAE84F8">
      <w:start w:val="1"/>
      <w:numFmt w:val="bullet"/>
      <w:lvlText w:val=""/>
      <w:lvlJc w:val="left"/>
      <w:pPr>
        <w:ind w:left="4320" w:hanging="360"/>
      </w:pPr>
      <w:rPr>
        <w:rFonts w:ascii="Wingdings" w:hAnsi="Wingdings" w:hint="default"/>
      </w:rPr>
    </w:lvl>
    <w:lvl w:ilvl="6" w:tplc="A9942F58">
      <w:start w:val="1"/>
      <w:numFmt w:val="bullet"/>
      <w:lvlText w:val=""/>
      <w:lvlJc w:val="left"/>
      <w:pPr>
        <w:ind w:left="5040" w:hanging="360"/>
      </w:pPr>
      <w:rPr>
        <w:rFonts w:ascii="Symbol" w:hAnsi="Symbol" w:hint="default"/>
      </w:rPr>
    </w:lvl>
    <w:lvl w:ilvl="7" w:tplc="AB4C03B0">
      <w:start w:val="1"/>
      <w:numFmt w:val="bullet"/>
      <w:lvlText w:val="o"/>
      <w:lvlJc w:val="left"/>
      <w:pPr>
        <w:ind w:left="5760" w:hanging="360"/>
      </w:pPr>
      <w:rPr>
        <w:rFonts w:ascii="Courier New" w:hAnsi="Courier New" w:cs="Courier New" w:hint="default"/>
      </w:rPr>
    </w:lvl>
    <w:lvl w:ilvl="8" w:tplc="F9EC85FA">
      <w:start w:val="1"/>
      <w:numFmt w:val="bullet"/>
      <w:lvlText w:val=""/>
      <w:lvlJc w:val="left"/>
      <w:pPr>
        <w:ind w:left="6480" w:hanging="360"/>
      </w:pPr>
      <w:rPr>
        <w:rFonts w:ascii="Wingdings" w:hAnsi="Wingdings" w:hint="default"/>
      </w:rPr>
    </w:lvl>
  </w:abstractNum>
  <w:abstractNum w:abstractNumId="31" w15:restartNumberingAfterBreak="0">
    <w:nsid w:val="51725741"/>
    <w:multiLevelType w:val="multilevel"/>
    <w:tmpl w:val="1A06A688"/>
    <w:styleLink w:val="ListLetters"/>
    <w:lvl w:ilvl="0">
      <w:start w:val="1"/>
      <w:numFmt w:val="lowerLetter"/>
      <w:lvlText w:val="%1."/>
      <w:lvlJc w:val="left"/>
      <w:pPr>
        <w:ind w:left="340" w:hanging="340"/>
      </w:pPr>
      <w:rPr>
        <w:rFonts w:hint="default"/>
      </w:rPr>
    </w:lvl>
    <w:lvl w:ilvl="1">
      <w:start w:val="1"/>
      <w:numFmt w:val="lowerRoman"/>
      <w:lvlText w:val="%2."/>
      <w:lvlJc w:val="left"/>
      <w:pPr>
        <w:ind w:left="340" w:hanging="34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57245AD3"/>
    <w:multiLevelType w:val="hybridMultilevel"/>
    <w:tmpl w:val="813A2DA6"/>
    <w:lvl w:ilvl="0" w:tplc="266A1A54">
      <w:start w:val="1"/>
      <w:numFmt w:val="bullet"/>
      <w:lvlText w:val=""/>
      <w:lvlJc w:val="left"/>
      <w:pPr>
        <w:ind w:left="284" w:hanging="284"/>
      </w:pPr>
      <w:rPr>
        <w:rFonts w:ascii="Symbol" w:hAnsi="Symbol" w:cs="Times New Roman" w:hint="default"/>
        <w:color w:val="auto"/>
      </w:rPr>
    </w:lvl>
    <w:lvl w:ilvl="1" w:tplc="477E0556">
      <w:start w:val="1"/>
      <w:numFmt w:val="bullet"/>
      <w:lvlText w:val="–"/>
      <w:lvlJc w:val="left"/>
      <w:pPr>
        <w:ind w:left="567" w:hanging="283"/>
      </w:pPr>
      <w:rPr>
        <w:rFonts w:ascii="Arial" w:hAnsi="Arial" w:cs="Calibri" w:hint="default"/>
        <w:color w:val="auto"/>
      </w:rPr>
    </w:lvl>
    <w:lvl w:ilvl="2" w:tplc="05BA0D88">
      <w:start w:val="1"/>
      <w:numFmt w:val="bullet"/>
      <w:lvlText w:val="–"/>
      <w:lvlJc w:val="left"/>
      <w:pPr>
        <w:ind w:left="851" w:hanging="284"/>
      </w:pPr>
      <w:rPr>
        <w:rFonts w:ascii="Calibri" w:hAnsi="Calibri" w:cs="Calibri" w:hint="default"/>
        <w:color w:val="auto"/>
      </w:rPr>
    </w:lvl>
    <w:lvl w:ilvl="3" w:tplc="5A1A1B1E">
      <w:start w:val="1"/>
      <w:numFmt w:val="bullet"/>
      <w:lvlText w:val="–"/>
      <w:lvlJc w:val="left"/>
      <w:pPr>
        <w:ind w:left="284" w:hanging="284"/>
      </w:pPr>
      <w:rPr>
        <w:rFonts w:ascii="Arial" w:hAnsi="Arial" w:cs="Times New Roman" w:hint="default"/>
      </w:rPr>
    </w:lvl>
    <w:lvl w:ilvl="4" w:tplc="AD7E500C">
      <w:start w:val="1"/>
      <w:numFmt w:val="bullet"/>
      <w:lvlText w:val="–"/>
      <w:lvlJc w:val="left"/>
      <w:pPr>
        <w:ind w:left="284" w:hanging="284"/>
      </w:pPr>
      <w:rPr>
        <w:rFonts w:ascii="Calibri" w:hAnsi="Calibri" w:cs="Times New Roman" w:hint="default"/>
        <w:color w:val="auto"/>
      </w:rPr>
    </w:lvl>
    <w:lvl w:ilvl="5" w:tplc="48FC697A">
      <w:start w:val="1"/>
      <w:numFmt w:val="bullet"/>
      <w:lvlText w:val="–"/>
      <w:lvlJc w:val="left"/>
      <w:pPr>
        <w:ind w:left="284" w:hanging="284"/>
      </w:pPr>
      <w:rPr>
        <w:rFonts w:ascii="Calibri" w:hAnsi="Calibri" w:cs="Times New Roman" w:hint="default"/>
        <w:color w:val="auto"/>
      </w:rPr>
    </w:lvl>
    <w:lvl w:ilvl="6" w:tplc="F21A723E">
      <w:start w:val="1"/>
      <w:numFmt w:val="bullet"/>
      <w:lvlText w:val="–"/>
      <w:lvlJc w:val="left"/>
      <w:pPr>
        <w:ind w:left="284" w:hanging="284"/>
      </w:pPr>
      <w:rPr>
        <w:rFonts w:ascii="Calibri" w:hAnsi="Calibri" w:cs="Times New Roman" w:hint="default"/>
        <w:color w:val="auto"/>
      </w:rPr>
    </w:lvl>
    <w:lvl w:ilvl="7" w:tplc="444A49C0">
      <w:start w:val="1"/>
      <w:numFmt w:val="bullet"/>
      <w:lvlText w:val="–"/>
      <w:lvlJc w:val="left"/>
      <w:pPr>
        <w:ind w:left="284" w:hanging="284"/>
      </w:pPr>
      <w:rPr>
        <w:rFonts w:ascii="Calibri" w:hAnsi="Calibri" w:cs="Times New Roman" w:hint="default"/>
        <w:color w:val="auto"/>
      </w:rPr>
    </w:lvl>
    <w:lvl w:ilvl="8" w:tplc="B8AC260A">
      <w:start w:val="1"/>
      <w:numFmt w:val="bullet"/>
      <w:lvlText w:val="–"/>
      <w:lvlJc w:val="left"/>
      <w:pPr>
        <w:ind w:left="284" w:hanging="284"/>
      </w:pPr>
      <w:rPr>
        <w:rFonts w:ascii="Calibri" w:hAnsi="Calibri" w:cs="Times New Roman" w:hint="default"/>
        <w:color w:val="auto"/>
      </w:rPr>
    </w:lvl>
  </w:abstractNum>
  <w:abstractNum w:abstractNumId="33" w15:restartNumberingAfterBreak="0">
    <w:nsid w:val="5C143293"/>
    <w:multiLevelType w:val="multilevel"/>
    <w:tmpl w:val="7C3460B6"/>
    <w:numStyleLink w:val="Bullets"/>
  </w:abstractNum>
  <w:abstractNum w:abstractNumId="34" w15:restartNumberingAfterBreak="0">
    <w:nsid w:val="5DDB678A"/>
    <w:multiLevelType w:val="multilevel"/>
    <w:tmpl w:val="F29613D6"/>
    <w:numStyleLink w:val="Appendix"/>
  </w:abstractNum>
  <w:abstractNum w:abstractNumId="35" w15:restartNumberingAfterBreak="0">
    <w:nsid w:val="60E1502C"/>
    <w:multiLevelType w:val="hybridMultilevel"/>
    <w:tmpl w:val="813A2DA6"/>
    <w:styleLink w:val="Bullets1"/>
    <w:lvl w:ilvl="0" w:tplc="846A3634">
      <w:start w:val="1"/>
      <w:numFmt w:val="bullet"/>
      <w:lvlText w:val=""/>
      <w:lvlJc w:val="left"/>
      <w:pPr>
        <w:ind w:left="284" w:hanging="284"/>
      </w:pPr>
      <w:rPr>
        <w:rFonts w:ascii="Symbol" w:hAnsi="Symbol" w:cs="Times New Roman" w:hint="default"/>
        <w:color w:val="auto"/>
      </w:rPr>
    </w:lvl>
    <w:lvl w:ilvl="1" w:tplc="CBD09FA8">
      <w:start w:val="1"/>
      <w:numFmt w:val="bullet"/>
      <w:lvlText w:val="–"/>
      <w:lvlJc w:val="left"/>
      <w:pPr>
        <w:ind w:left="567" w:hanging="283"/>
      </w:pPr>
      <w:rPr>
        <w:rFonts w:ascii="Arial" w:hAnsi="Arial" w:cs="Calibri" w:hint="default"/>
        <w:color w:val="auto"/>
      </w:rPr>
    </w:lvl>
    <w:lvl w:ilvl="2" w:tplc="A0902828">
      <w:start w:val="1"/>
      <w:numFmt w:val="bullet"/>
      <w:lvlText w:val="–"/>
      <w:lvlJc w:val="left"/>
      <w:pPr>
        <w:ind w:left="851" w:hanging="284"/>
      </w:pPr>
      <w:rPr>
        <w:rFonts w:ascii="Calibri" w:hAnsi="Calibri" w:cs="Calibri" w:hint="default"/>
        <w:color w:val="auto"/>
      </w:rPr>
    </w:lvl>
    <w:lvl w:ilvl="3" w:tplc="F82EA486">
      <w:start w:val="1"/>
      <w:numFmt w:val="bullet"/>
      <w:lvlText w:val="–"/>
      <w:lvlJc w:val="left"/>
      <w:pPr>
        <w:ind w:left="284" w:hanging="284"/>
      </w:pPr>
      <w:rPr>
        <w:rFonts w:ascii="Arial" w:hAnsi="Arial" w:cs="Times New Roman" w:hint="default"/>
      </w:rPr>
    </w:lvl>
    <w:lvl w:ilvl="4" w:tplc="2354BA06">
      <w:start w:val="1"/>
      <w:numFmt w:val="bullet"/>
      <w:lvlText w:val="–"/>
      <w:lvlJc w:val="left"/>
      <w:pPr>
        <w:ind w:left="284" w:hanging="284"/>
      </w:pPr>
      <w:rPr>
        <w:rFonts w:ascii="Calibri" w:hAnsi="Calibri" w:cs="Times New Roman" w:hint="default"/>
        <w:color w:val="auto"/>
      </w:rPr>
    </w:lvl>
    <w:lvl w:ilvl="5" w:tplc="21D09C9C">
      <w:start w:val="1"/>
      <w:numFmt w:val="bullet"/>
      <w:lvlText w:val="–"/>
      <w:lvlJc w:val="left"/>
      <w:pPr>
        <w:ind w:left="284" w:hanging="284"/>
      </w:pPr>
      <w:rPr>
        <w:rFonts w:ascii="Calibri" w:hAnsi="Calibri" w:cs="Times New Roman" w:hint="default"/>
        <w:color w:val="auto"/>
      </w:rPr>
    </w:lvl>
    <w:lvl w:ilvl="6" w:tplc="8BB2A926">
      <w:start w:val="1"/>
      <w:numFmt w:val="bullet"/>
      <w:lvlText w:val="–"/>
      <w:lvlJc w:val="left"/>
      <w:pPr>
        <w:ind w:left="284" w:hanging="284"/>
      </w:pPr>
      <w:rPr>
        <w:rFonts w:ascii="Calibri" w:hAnsi="Calibri" w:cs="Times New Roman" w:hint="default"/>
        <w:color w:val="auto"/>
      </w:rPr>
    </w:lvl>
    <w:lvl w:ilvl="7" w:tplc="9EBC39C6">
      <w:start w:val="1"/>
      <w:numFmt w:val="bullet"/>
      <w:lvlText w:val="–"/>
      <w:lvlJc w:val="left"/>
      <w:pPr>
        <w:ind w:left="284" w:hanging="284"/>
      </w:pPr>
      <w:rPr>
        <w:rFonts w:ascii="Calibri" w:hAnsi="Calibri" w:cs="Times New Roman" w:hint="default"/>
        <w:color w:val="auto"/>
      </w:rPr>
    </w:lvl>
    <w:lvl w:ilvl="8" w:tplc="A93E53A4">
      <w:start w:val="1"/>
      <w:numFmt w:val="bullet"/>
      <w:lvlText w:val="–"/>
      <w:lvlJc w:val="left"/>
      <w:pPr>
        <w:ind w:left="284" w:hanging="284"/>
      </w:pPr>
      <w:rPr>
        <w:rFonts w:ascii="Calibri" w:hAnsi="Calibri" w:cs="Times New Roman" w:hint="default"/>
        <w:color w:val="auto"/>
      </w:rPr>
    </w:lvl>
  </w:abstractNum>
  <w:abstractNum w:abstractNumId="36" w15:restartNumberingAfterBreak="0">
    <w:nsid w:val="7AD17C75"/>
    <w:multiLevelType w:val="multilevel"/>
    <w:tmpl w:val="F29613D6"/>
    <w:numStyleLink w:val="Appendix"/>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0"/>
  </w:num>
  <w:num w:numId="1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num>
  <w:num w:numId="19">
    <w:abstractNumId w:val="27"/>
  </w:num>
  <w:num w:numId="20">
    <w:abstractNumId w:val="15"/>
  </w:num>
  <w:num w:numId="21">
    <w:abstractNumId w:val="34"/>
    <w:lvlOverride w:ilvl="0">
      <w:lvl w:ilvl="0">
        <w:start w:val="1"/>
        <w:numFmt w:val="decimal"/>
        <w:lvlText w:val="Appendix %1:"/>
        <w:lvlJc w:val="left"/>
        <w:pPr>
          <w:tabs>
            <w:tab w:val="num" w:pos="3119"/>
          </w:tabs>
          <w:ind w:left="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2">
    <w:abstractNumId w:val="34"/>
    <w:lvlOverride w:ilvl="0">
      <w:lvl w:ilvl="0">
        <w:start w:val="1"/>
        <w:numFmt w:val="decimal"/>
        <w:lvlText w:val="Appendix %1:"/>
        <w:lvlJc w:val="left"/>
        <w:pPr>
          <w:tabs>
            <w:tab w:val="num" w:pos="3119"/>
          </w:tabs>
          <w:ind w:left="0" w:firstLine="0"/>
        </w:pPr>
        <w:rPr>
          <w:rFonts w:hint="default"/>
        </w:rPr>
      </w:lvl>
    </w:lvlOverride>
  </w:num>
  <w:num w:numId="23">
    <w:abstractNumId w:val="31"/>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num>
  <w:num w:numId="26">
    <w:abstractNumId w:val="20"/>
  </w:num>
  <w:num w:numId="27">
    <w:abstractNumId w:val="22"/>
  </w:num>
  <w:num w:numId="28">
    <w:abstractNumId w:val="28"/>
  </w:num>
  <w:num w:numId="29">
    <w:abstractNumId w:val="23"/>
  </w:num>
  <w:num w:numId="30">
    <w:abstractNumId w:val="35"/>
  </w:num>
  <w:num w:numId="31">
    <w:abstractNumId w:val="17"/>
  </w:num>
  <w:num w:numId="32">
    <w:abstractNumId w:val="32"/>
  </w:num>
  <w:num w:numId="33">
    <w:abstractNumId w:val="26"/>
  </w:num>
  <w:num w:numId="34">
    <w:abstractNumId w:val="24"/>
  </w:num>
  <w:num w:numId="35">
    <w:abstractNumId w:val="25"/>
  </w:num>
  <w:num w:numId="36">
    <w:abstractNumId w:val="29"/>
  </w:num>
  <w:num w:numId="37">
    <w:abstractNumId w:val="18"/>
  </w:num>
  <w:num w:numId="38">
    <w:abstractNumId w:val="33"/>
  </w:num>
  <w:num w:numId="39">
    <w:abstractNumId w:val="21"/>
  </w:num>
  <w:num w:numId="40">
    <w:abstractNumId w:val="14"/>
  </w:num>
  <w:num w:numId="41">
    <w:abstractNumId w:val="11"/>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hideSpellingErrors/>
  <w:hideGrammaticalErrors/>
  <w:activeWritingStyle w:appName="MSWord" w:lang="fr-FR" w:vendorID="64" w:dllVersion="6" w:nlCheck="1" w:checkStyle="0"/>
  <w:activeWritingStyle w:appName="MSWord" w:lang="en-AU" w:vendorID="64" w:dllVersion="6" w:nlCheck="1" w:checkStyle="1"/>
  <w:activeWritingStyle w:appName="MSWord" w:lang="en-CA" w:vendorID="64" w:dllVersion="6" w:nlCheck="1" w:checkStyle="1"/>
  <w:activeWritingStyle w:appName="MSWord" w:lang="en-US" w:vendorID="64" w:dllVersion="6" w:nlCheck="1" w:checkStyle="1"/>
  <w:activeWritingStyle w:appName="MSWord" w:lang="en-US" w:vendorID="64" w:dllVersion="0" w:nlCheck="1" w:checkStyle="0"/>
  <w:activeWritingStyle w:appName="MSWord" w:lang="en-AU" w:vendorID="64" w:dllVersion="0" w:nlCheck="1" w:checkStyle="0"/>
  <w:activeWritingStyle w:appName="MSWord" w:lang="en-CA" w:vendorID="64" w:dllVersion="0" w:nlCheck="1" w:checkStyle="0"/>
  <w:activeWritingStyle w:appName="MSWord" w:lang="sv-SE" w:vendorID="64" w:dllVersion="0" w:nlCheck="1" w:checkStyle="0"/>
  <w:activeWritingStyle w:appName="MSWord" w:lang="de-DE" w:vendorID="64" w:dllVersion="0" w:nlCheck="1" w:checkStyle="0"/>
  <w:activeWritingStyle w:appName="MSWord" w:lang="pt-BR"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1825"/>
    <w:rsid w:val="000009AF"/>
    <w:rsid w:val="00000AAF"/>
    <w:rsid w:val="00025CE7"/>
    <w:rsid w:val="0003283A"/>
    <w:rsid w:val="00035C17"/>
    <w:rsid w:val="00037AA8"/>
    <w:rsid w:val="00072550"/>
    <w:rsid w:val="00074A6B"/>
    <w:rsid w:val="00075B4F"/>
    <w:rsid w:val="00075BA4"/>
    <w:rsid w:val="000823D5"/>
    <w:rsid w:val="00084C28"/>
    <w:rsid w:val="000852B7"/>
    <w:rsid w:val="00087D23"/>
    <w:rsid w:val="0009359D"/>
    <w:rsid w:val="000942CC"/>
    <w:rsid w:val="000A1556"/>
    <w:rsid w:val="000A3C76"/>
    <w:rsid w:val="000A72E3"/>
    <w:rsid w:val="000B671E"/>
    <w:rsid w:val="000C4137"/>
    <w:rsid w:val="000C475B"/>
    <w:rsid w:val="000C4BFC"/>
    <w:rsid w:val="000C5CB7"/>
    <w:rsid w:val="000E3CA6"/>
    <w:rsid w:val="000E5133"/>
    <w:rsid w:val="000E78EF"/>
    <w:rsid w:val="000E7B5D"/>
    <w:rsid w:val="000F73EA"/>
    <w:rsid w:val="000F7ABB"/>
    <w:rsid w:val="001007FB"/>
    <w:rsid w:val="00102378"/>
    <w:rsid w:val="001108AF"/>
    <w:rsid w:val="00114425"/>
    <w:rsid w:val="001274E2"/>
    <w:rsid w:val="001314FF"/>
    <w:rsid w:val="001478F2"/>
    <w:rsid w:val="00147D46"/>
    <w:rsid w:val="001545D8"/>
    <w:rsid w:val="00155D06"/>
    <w:rsid w:val="001608A0"/>
    <w:rsid w:val="001608CB"/>
    <w:rsid w:val="00162D0E"/>
    <w:rsid w:val="001661BD"/>
    <w:rsid w:val="00166493"/>
    <w:rsid w:val="00166915"/>
    <w:rsid w:val="00167BB8"/>
    <w:rsid w:val="00184191"/>
    <w:rsid w:val="0018540E"/>
    <w:rsid w:val="00187983"/>
    <w:rsid w:val="0019346E"/>
    <w:rsid w:val="00196B63"/>
    <w:rsid w:val="001A0184"/>
    <w:rsid w:val="001A0D77"/>
    <w:rsid w:val="001A1790"/>
    <w:rsid w:val="001A1795"/>
    <w:rsid w:val="001A5378"/>
    <w:rsid w:val="001B7B51"/>
    <w:rsid w:val="001C3592"/>
    <w:rsid w:val="001C53BD"/>
    <w:rsid w:val="001D0D30"/>
    <w:rsid w:val="001D2622"/>
    <w:rsid w:val="001D2B63"/>
    <w:rsid w:val="001D4D90"/>
    <w:rsid w:val="001E0A84"/>
    <w:rsid w:val="001E4FFA"/>
    <w:rsid w:val="001E69F0"/>
    <w:rsid w:val="001F3C1A"/>
    <w:rsid w:val="001F3EED"/>
    <w:rsid w:val="001F423E"/>
    <w:rsid w:val="001F446D"/>
    <w:rsid w:val="001F6568"/>
    <w:rsid w:val="00200169"/>
    <w:rsid w:val="00203B18"/>
    <w:rsid w:val="00206830"/>
    <w:rsid w:val="00216C19"/>
    <w:rsid w:val="00217D3F"/>
    <w:rsid w:val="0022607F"/>
    <w:rsid w:val="002261E6"/>
    <w:rsid w:val="00226999"/>
    <w:rsid w:val="00237202"/>
    <w:rsid w:val="00246067"/>
    <w:rsid w:val="00261015"/>
    <w:rsid w:val="00264126"/>
    <w:rsid w:val="0026614C"/>
    <w:rsid w:val="00276E74"/>
    <w:rsid w:val="00282430"/>
    <w:rsid w:val="0028576A"/>
    <w:rsid w:val="00285DFD"/>
    <w:rsid w:val="00295FF9"/>
    <w:rsid w:val="002A082E"/>
    <w:rsid w:val="002A0C17"/>
    <w:rsid w:val="002A4BE8"/>
    <w:rsid w:val="002B0C72"/>
    <w:rsid w:val="002B5C12"/>
    <w:rsid w:val="002B610D"/>
    <w:rsid w:val="002C3213"/>
    <w:rsid w:val="002D55AF"/>
    <w:rsid w:val="002E61E0"/>
    <w:rsid w:val="002E7B4E"/>
    <w:rsid w:val="00300BC4"/>
    <w:rsid w:val="00304881"/>
    <w:rsid w:val="00306564"/>
    <w:rsid w:val="00321C4E"/>
    <w:rsid w:val="00322EBC"/>
    <w:rsid w:val="00325141"/>
    <w:rsid w:val="003322AA"/>
    <w:rsid w:val="00340AA0"/>
    <w:rsid w:val="00342318"/>
    <w:rsid w:val="00342595"/>
    <w:rsid w:val="003434A7"/>
    <w:rsid w:val="00344D22"/>
    <w:rsid w:val="0034680A"/>
    <w:rsid w:val="00347199"/>
    <w:rsid w:val="00347F2C"/>
    <w:rsid w:val="00350C1D"/>
    <w:rsid w:val="0035396D"/>
    <w:rsid w:val="0036362D"/>
    <w:rsid w:val="0036379A"/>
    <w:rsid w:val="00364ACD"/>
    <w:rsid w:val="00367125"/>
    <w:rsid w:val="0037361F"/>
    <w:rsid w:val="00376AD0"/>
    <w:rsid w:val="0037721D"/>
    <w:rsid w:val="003849FE"/>
    <w:rsid w:val="003920CC"/>
    <w:rsid w:val="0039589C"/>
    <w:rsid w:val="003A0D35"/>
    <w:rsid w:val="003A2439"/>
    <w:rsid w:val="003B09F1"/>
    <w:rsid w:val="003B470A"/>
    <w:rsid w:val="003C05FE"/>
    <w:rsid w:val="003C29FA"/>
    <w:rsid w:val="003D1D49"/>
    <w:rsid w:val="003D23A3"/>
    <w:rsid w:val="003D2B35"/>
    <w:rsid w:val="003D4112"/>
    <w:rsid w:val="003D5848"/>
    <w:rsid w:val="003D5856"/>
    <w:rsid w:val="003E4CDB"/>
    <w:rsid w:val="003E7E0E"/>
    <w:rsid w:val="003F4A87"/>
    <w:rsid w:val="0040020E"/>
    <w:rsid w:val="00407A28"/>
    <w:rsid w:val="00414815"/>
    <w:rsid w:val="00424A03"/>
    <w:rsid w:val="00425B48"/>
    <w:rsid w:val="004272CC"/>
    <w:rsid w:val="004524C0"/>
    <w:rsid w:val="00456CB4"/>
    <w:rsid w:val="00456DF8"/>
    <w:rsid w:val="00473F1B"/>
    <w:rsid w:val="0048318E"/>
    <w:rsid w:val="00484C15"/>
    <w:rsid w:val="004901AD"/>
    <w:rsid w:val="00497B1C"/>
    <w:rsid w:val="004A51AE"/>
    <w:rsid w:val="004A6349"/>
    <w:rsid w:val="004A7D15"/>
    <w:rsid w:val="004B0A52"/>
    <w:rsid w:val="004B0D99"/>
    <w:rsid w:val="004B293B"/>
    <w:rsid w:val="004B7214"/>
    <w:rsid w:val="004B73F7"/>
    <w:rsid w:val="004E1710"/>
    <w:rsid w:val="004E17FC"/>
    <w:rsid w:val="004E28C6"/>
    <w:rsid w:val="004F138F"/>
    <w:rsid w:val="004F46AC"/>
    <w:rsid w:val="00504C94"/>
    <w:rsid w:val="00514A49"/>
    <w:rsid w:val="00515315"/>
    <w:rsid w:val="00526F46"/>
    <w:rsid w:val="005303CF"/>
    <w:rsid w:val="00532A2E"/>
    <w:rsid w:val="00542DE6"/>
    <w:rsid w:val="005430BF"/>
    <w:rsid w:val="0054317F"/>
    <w:rsid w:val="005439F9"/>
    <w:rsid w:val="0054531D"/>
    <w:rsid w:val="00547FE5"/>
    <w:rsid w:val="00570967"/>
    <w:rsid w:val="00570C0E"/>
    <w:rsid w:val="0058369E"/>
    <w:rsid w:val="00584BCB"/>
    <w:rsid w:val="00587650"/>
    <w:rsid w:val="00591372"/>
    <w:rsid w:val="005A43C5"/>
    <w:rsid w:val="005A4CBE"/>
    <w:rsid w:val="005A4F22"/>
    <w:rsid w:val="005B00AD"/>
    <w:rsid w:val="005B1703"/>
    <w:rsid w:val="005B2E59"/>
    <w:rsid w:val="005B4940"/>
    <w:rsid w:val="005C3239"/>
    <w:rsid w:val="005C4F22"/>
    <w:rsid w:val="005C67F0"/>
    <w:rsid w:val="005C7481"/>
    <w:rsid w:val="005C7D55"/>
    <w:rsid w:val="005D2A74"/>
    <w:rsid w:val="005D4BF8"/>
    <w:rsid w:val="005D6A44"/>
    <w:rsid w:val="005D6E2A"/>
    <w:rsid w:val="005E1435"/>
    <w:rsid w:val="005E5A0C"/>
    <w:rsid w:val="005F320B"/>
    <w:rsid w:val="005F6500"/>
    <w:rsid w:val="00601E2F"/>
    <w:rsid w:val="00614B5C"/>
    <w:rsid w:val="006162EA"/>
    <w:rsid w:val="00624D58"/>
    <w:rsid w:val="0062540B"/>
    <w:rsid w:val="00626891"/>
    <w:rsid w:val="0063063A"/>
    <w:rsid w:val="006342D8"/>
    <w:rsid w:val="00635D69"/>
    <w:rsid w:val="00637CC5"/>
    <w:rsid w:val="006521AD"/>
    <w:rsid w:val="00654876"/>
    <w:rsid w:val="00664659"/>
    <w:rsid w:val="00666981"/>
    <w:rsid w:val="00666B86"/>
    <w:rsid w:val="0067266C"/>
    <w:rsid w:val="00674C59"/>
    <w:rsid w:val="006852F8"/>
    <w:rsid w:val="006856B8"/>
    <w:rsid w:val="00690FBF"/>
    <w:rsid w:val="00693419"/>
    <w:rsid w:val="00695166"/>
    <w:rsid w:val="00696736"/>
    <w:rsid w:val="006A0BD8"/>
    <w:rsid w:val="006A14C0"/>
    <w:rsid w:val="006A6E9B"/>
    <w:rsid w:val="006A7328"/>
    <w:rsid w:val="006C4E0C"/>
    <w:rsid w:val="006C4F8C"/>
    <w:rsid w:val="006D11DA"/>
    <w:rsid w:val="006D2CCA"/>
    <w:rsid w:val="006D3F2F"/>
    <w:rsid w:val="006E092F"/>
    <w:rsid w:val="006E0941"/>
    <w:rsid w:val="006E3536"/>
    <w:rsid w:val="006E6648"/>
    <w:rsid w:val="006F1A86"/>
    <w:rsid w:val="006F3290"/>
    <w:rsid w:val="006F4437"/>
    <w:rsid w:val="00700E50"/>
    <w:rsid w:val="0070208A"/>
    <w:rsid w:val="00703632"/>
    <w:rsid w:val="00703E57"/>
    <w:rsid w:val="00705EF2"/>
    <w:rsid w:val="00714488"/>
    <w:rsid w:val="0071606A"/>
    <w:rsid w:val="007176E0"/>
    <w:rsid w:val="00720C3E"/>
    <w:rsid w:val="00732758"/>
    <w:rsid w:val="00737D09"/>
    <w:rsid w:val="007406C5"/>
    <w:rsid w:val="0075350B"/>
    <w:rsid w:val="00754259"/>
    <w:rsid w:val="0075751C"/>
    <w:rsid w:val="0076181F"/>
    <w:rsid w:val="00771BDA"/>
    <w:rsid w:val="007725AC"/>
    <w:rsid w:val="00776870"/>
    <w:rsid w:val="00782A4E"/>
    <w:rsid w:val="00784993"/>
    <w:rsid w:val="00786520"/>
    <w:rsid w:val="007970EE"/>
    <w:rsid w:val="007976A1"/>
    <w:rsid w:val="007A587C"/>
    <w:rsid w:val="007A68EF"/>
    <w:rsid w:val="007B1AE6"/>
    <w:rsid w:val="007B23C9"/>
    <w:rsid w:val="007C084E"/>
    <w:rsid w:val="007D029B"/>
    <w:rsid w:val="007D71E0"/>
    <w:rsid w:val="007E5BB6"/>
    <w:rsid w:val="007E6707"/>
    <w:rsid w:val="007F1B2F"/>
    <w:rsid w:val="007F33A8"/>
    <w:rsid w:val="007F4A4A"/>
    <w:rsid w:val="007F4C4A"/>
    <w:rsid w:val="007F77C7"/>
    <w:rsid w:val="00800B42"/>
    <w:rsid w:val="00810406"/>
    <w:rsid w:val="00820590"/>
    <w:rsid w:val="008310AD"/>
    <w:rsid w:val="00837246"/>
    <w:rsid w:val="00837F62"/>
    <w:rsid w:val="00846BE9"/>
    <w:rsid w:val="00852D32"/>
    <w:rsid w:val="008619B0"/>
    <w:rsid w:val="00877F79"/>
    <w:rsid w:val="008818D3"/>
    <w:rsid w:val="008857F6"/>
    <w:rsid w:val="00887D91"/>
    <w:rsid w:val="00894934"/>
    <w:rsid w:val="00895C08"/>
    <w:rsid w:val="008A031E"/>
    <w:rsid w:val="008A4556"/>
    <w:rsid w:val="008A6575"/>
    <w:rsid w:val="008B2B4C"/>
    <w:rsid w:val="008B60C3"/>
    <w:rsid w:val="008C1278"/>
    <w:rsid w:val="008C20E4"/>
    <w:rsid w:val="008C2D5A"/>
    <w:rsid w:val="008C503C"/>
    <w:rsid w:val="008C680B"/>
    <w:rsid w:val="008D27E4"/>
    <w:rsid w:val="008D3A23"/>
    <w:rsid w:val="008D4AAA"/>
    <w:rsid w:val="008D5309"/>
    <w:rsid w:val="008D7089"/>
    <w:rsid w:val="008D7E40"/>
    <w:rsid w:val="008E2435"/>
    <w:rsid w:val="008E26D2"/>
    <w:rsid w:val="008F7707"/>
    <w:rsid w:val="009059AA"/>
    <w:rsid w:val="009069B4"/>
    <w:rsid w:val="009226E2"/>
    <w:rsid w:val="00930EEB"/>
    <w:rsid w:val="009340DA"/>
    <w:rsid w:val="00936068"/>
    <w:rsid w:val="00937649"/>
    <w:rsid w:val="00940D87"/>
    <w:rsid w:val="00940E14"/>
    <w:rsid w:val="00942478"/>
    <w:rsid w:val="0094530D"/>
    <w:rsid w:val="00951239"/>
    <w:rsid w:val="009542A7"/>
    <w:rsid w:val="0095468A"/>
    <w:rsid w:val="00956166"/>
    <w:rsid w:val="009572DC"/>
    <w:rsid w:val="00957534"/>
    <w:rsid w:val="009615D4"/>
    <w:rsid w:val="00964525"/>
    <w:rsid w:val="00970D7B"/>
    <w:rsid w:val="0097133F"/>
    <w:rsid w:val="00971AA9"/>
    <w:rsid w:val="00972206"/>
    <w:rsid w:val="00975361"/>
    <w:rsid w:val="009822C7"/>
    <w:rsid w:val="0098505B"/>
    <w:rsid w:val="009A2F17"/>
    <w:rsid w:val="009A317F"/>
    <w:rsid w:val="009B1C77"/>
    <w:rsid w:val="009C05A3"/>
    <w:rsid w:val="009C230E"/>
    <w:rsid w:val="009C54C1"/>
    <w:rsid w:val="009D200D"/>
    <w:rsid w:val="009E29FC"/>
    <w:rsid w:val="009E62B1"/>
    <w:rsid w:val="009E7861"/>
    <w:rsid w:val="009F4F5E"/>
    <w:rsid w:val="00A01871"/>
    <w:rsid w:val="00A02E4C"/>
    <w:rsid w:val="00A03BF2"/>
    <w:rsid w:val="00A13026"/>
    <w:rsid w:val="00A213F3"/>
    <w:rsid w:val="00A24486"/>
    <w:rsid w:val="00A32F94"/>
    <w:rsid w:val="00A34C4A"/>
    <w:rsid w:val="00A34EA5"/>
    <w:rsid w:val="00A35712"/>
    <w:rsid w:val="00A37272"/>
    <w:rsid w:val="00A42882"/>
    <w:rsid w:val="00A43D4F"/>
    <w:rsid w:val="00A44303"/>
    <w:rsid w:val="00A545FE"/>
    <w:rsid w:val="00A56E1E"/>
    <w:rsid w:val="00A629D7"/>
    <w:rsid w:val="00A7178D"/>
    <w:rsid w:val="00A727D6"/>
    <w:rsid w:val="00A8297F"/>
    <w:rsid w:val="00A82F64"/>
    <w:rsid w:val="00A849F9"/>
    <w:rsid w:val="00A85CAA"/>
    <w:rsid w:val="00A90DDB"/>
    <w:rsid w:val="00A91FFF"/>
    <w:rsid w:val="00A93C74"/>
    <w:rsid w:val="00A94A22"/>
    <w:rsid w:val="00AA50DA"/>
    <w:rsid w:val="00AC31F5"/>
    <w:rsid w:val="00AC34AD"/>
    <w:rsid w:val="00AD4E58"/>
    <w:rsid w:val="00AD783C"/>
    <w:rsid w:val="00AE38CE"/>
    <w:rsid w:val="00AE3BCC"/>
    <w:rsid w:val="00AE713A"/>
    <w:rsid w:val="00AF4CB8"/>
    <w:rsid w:val="00AF7976"/>
    <w:rsid w:val="00AF7F66"/>
    <w:rsid w:val="00B058ED"/>
    <w:rsid w:val="00B05C80"/>
    <w:rsid w:val="00B119BF"/>
    <w:rsid w:val="00B147C7"/>
    <w:rsid w:val="00B172F5"/>
    <w:rsid w:val="00B20461"/>
    <w:rsid w:val="00B21908"/>
    <w:rsid w:val="00B241F2"/>
    <w:rsid w:val="00B30B5C"/>
    <w:rsid w:val="00B352D2"/>
    <w:rsid w:val="00B4241C"/>
    <w:rsid w:val="00B44C30"/>
    <w:rsid w:val="00B45736"/>
    <w:rsid w:val="00B46721"/>
    <w:rsid w:val="00B66B2F"/>
    <w:rsid w:val="00B74BAD"/>
    <w:rsid w:val="00B87273"/>
    <w:rsid w:val="00B87859"/>
    <w:rsid w:val="00B925F4"/>
    <w:rsid w:val="00B931CE"/>
    <w:rsid w:val="00BA353B"/>
    <w:rsid w:val="00BA7623"/>
    <w:rsid w:val="00BB4E5C"/>
    <w:rsid w:val="00BB561B"/>
    <w:rsid w:val="00BB6B69"/>
    <w:rsid w:val="00BB7207"/>
    <w:rsid w:val="00BB7967"/>
    <w:rsid w:val="00BC0983"/>
    <w:rsid w:val="00BC47B6"/>
    <w:rsid w:val="00BC4A0B"/>
    <w:rsid w:val="00BC58BB"/>
    <w:rsid w:val="00BC71CA"/>
    <w:rsid w:val="00BD1825"/>
    <w:rsid w:val="00BD376D"/>
    <w:rsid w:val="00BD5AFF"/>
    <w:rsid w:val="00BD5C4D"/>
    <w:rsid w:val="00BE270B"/>
    <w:rsid w:val="00BE4A16"/>
    <w:rsid w:val="00BE76F9"/>
    <w:rsid w:val="00BF2262"/>
    <w:rsid w:val="00BF2E87"/>
    <w:rsid w:val="00BF49AC"/>
    <w:rsid w:val="00BF5B00"/>
    <w:rsid w:val="00BF5FEB"/>
    <w:rsid w:val="00C01E68"/>
    <w:rsid w:val="00C07923"/>
    <w:rsid w:val="00C10086"/>
    <w:rsid w:val="00C120C1"/>
    <w:rsid w:val="00C20207"/>
    <w:rsid w:val="00C33605"/>
    <w:rsid w:val="00C417A4"/>
    <w:rsid w:val="00C44544"/>
    <w:rsid w:val="00C52F79"/>
    <w:rsid w:val="00C55EEB"/>
    <w:rsid w:val="00C733E3"/>
    <w:rsid w:val="00C768C8"/>
    <w:rsid w:val="00C83ED4"/>
    <w:rsid w:val="00C8566B"/>
    <w:rsid w:val="00C91AC4"/>
    <w:rsid w:val="00C92357"/>
    <w:rsid w:val="00CA2B3B"/>
    <w:rsid w:val="00CA42B3"/>
    <w:rsid w:val="00CB3396"/>
    <w:rsid w:val="00CB3780"/>
    <w:rsid w:val="00CB4721"/>
    <w:rsid w:val="00CB6753"/>
    <w:rsid w:val="00CB6A31"/>
    <w:rsid w:val="00CC44D9"/>
    <w:rsid w:val="00CC45AA"/>
    <w:rsid w:val="00CD001D"/>
    <w:rsid w:val="00CD02DD"/>
    <w:rsid w:val="00CD2AEE"/>
    <w:rsid w:val="00CD2EA1"/>
    <w:rsid w:val="00CD61EB"/>
    <w:rsid w:val="00CF5B9B"/>
    <w:rsid w:val="00D110ED"/>
    <w:rsid w:val="00D12945"/>
    <w:rsid w:val="00D16C60"/>
    <w:rsid w:val="00D17F82"/>
    <w:rsid w:val="00D2211D"/>
    <w:rsid w:val="00D2424B"/>
    <w:rsid w:val="00D246C8"/>
    <w:rsid w:val="00D26F61"/>
    <w:rsid w:val="00D30962"/>
    <w:rsid w:val="00D36AD0"/>
    <w:rsid w:val="00D40A91"/>
    <w:rsid w:val="00D4174E"/>
    <w:rsid w:val="00D46860"/>
    <w:rsid w:val="00D50325"/>
    <w:rsid w:val="00D54421"/>
    <w:rsid w:val="00D5585A"/>
    <w:rsid w:val="00D559DB"/>
    <w:rsid w:val="00D628A0"/>
    <w:rsid w:val="00D63149"/>
    <w:rsid w:val="00D652A8"/>
    <w:rsid w:val="00D6696E"/>
    <w:rsid w:val="00D72F88"/>
    <w:rsid w:val="00D74655"/>
    <w:rsid w:val="00D86414"/>
    <w:rsid w:val="00D92F07"/>
    <w:rsid w:val="00D965C0"/>
    <w:rsid w:val="00DA4236"/>
    <w:rsid w:val="00DB19DD"/>
    <w:rsid w:val="00DB396A"/>
    <w:rsid w:val="00DD07D6"/>
    <w:rsid w:val="00DD4CC1"/>
    <w:rsid w:val="00DE64CC"/>
    <w:rsid w:val="00DF2F10"/>
    <w:rsid w:val="00E036AA"/>
    <w:rsid w:val="00E05465"/>
    <w:rsid w:val="00E10F5F"/>
    <w:rsid w:val="00E21512"/>
    <w:rsid w:val="00E224E9"/>
    <w:rsid w:val="00E23083"/>
    <w:rsid w:val="00E24121"/>
    <w:rsid w:val="00E263CB"/>
    <w:rsid w:val="00E32F93"/>
    <w:rsid w:val="00E40459"/>
    <w:rsid w:val="00E448DB"/>
    <w:rsid w:val="00E45C5E"/>
    <w:rsid w:val="00E52EBA"/>
    <w:rsid w:val="00E53452"/>
    <w:rsid w:val="00E54653"/>
    <w:rsid w:val="00E61883"/>
    <w:rsid w:val="00E61CDF"/>
    <w:rsid w:val="00E825DE"/>
    <w:rsid w:val="00E8651C"/>
    <w:rsid w:val="00E92318"/>
    <w:rsid w:val="00E961B2"/>
    <w:rsid w:val="00E97042"/>
    <w:rsid w:val="00E97EA6"/>
    <w:rsid w:val="00EA5D94"/>
    <w:rsid w:val="00EB11AE"/>
    <w:rsid w:val="00EB212A"/>
    <w:rsid w:val="00EB381E"/>
    <w:rsid w:val="00EC0A2E"/>
    <w:rsid w:val="00EC2538"/>
    <w:rsid w:val="00EC2FD9"/>
    <w:rsid w:val="00EC725D"/>
    <w:rsid w:val="00ED0342"/>
    <w:rsid w:val="00ED1F6D"/>
    <w:rsid w:val="00ED262D"/>
    <w:rsid w:val="00ED2937"/>
    <w:rsid w:val="00ED3B45"/>
    <w:rsid w:val="00ED56E9"/>
    <w:rsid w:val="00EE0B7F"/>
    <w:rsid w:val="00EF1E68"/>
    <w:rsid w:val="00EF42E7"/>
    <w:rsid w:val="00F07A87"/>
    <w:rsid w:val="00F12D77"/>
    <w:rsid w:val="00F162D4"/>
    <w:rsid w:val="00F22031"/>
    <w:rsid w:val="00F270BD"/>
    <w:rsid w:val="00F372BF"/>
    <w:rsid w:val="00F4702C"/>
    <w:rsid w:val="00F61714"/>
    <w:rsid w:val="00F6253B"/>
    <w:rsid w:val="00F65524"/>
    <w:rsid w:val="00F65AD5"/>
    <w:rsid w:val="00F70676"/>
    <w:rsid w:val="00F70706"/>
    <w:rsid w:val="00F76BF9"/>
    <w:rsid w:val="00F8209D"/>
    <w:rsid w:val="00F87B07"/>
    <w:rsid w:val="00F91364"/>
    <w:rsid w:val="00F92926"/>
    <w:rsid w:val="00F93F43"/>
    <w:rsid w:val="00F94ACB"/>
    <w:rsid w:val="00F962A9"/>
    <w:rsid w:val="00F9687D"/>
    <w:rsid w:val="00FA5B00"/>
    <w:rsid w:val="00FB3E34"/>
    <w:rsid w:val="00FC09DF"/>
    <w:rsid w:val="00FC0DBC"/>
    <w:rsid w:val="00FC2CF6"/>
    <w:rsid w:val="00FC2D8B"/>
    <w:rsid w:val="00FC77E3"/>
    <w:rsid w:val="00FD2F56"/>
    <w:rsid w:val="00FD32DC"/>
    <w:rsid w:val="00FD3333"/>
    <w:rsid w:val="00FD61B3"/>
    <w:rsid w:val="00FE2EAA"/>
    <w:rsid w:val="00FE2F1B"/>
    <w:rsid w:val="00FE7293"/>
    <w:rsid w:val="00FF27CC"/>
    <w:rsid w:val="05989FA2"/>
    <w:rsid w:val="0AE58D1A"/>
    <w:rsid w:val="0DE972BF"/>
    <w:rsid w:val="13E4F96A"/>
    <w:rsid w:val="16290A0A"/>
    <w:rsid w:val="16A2865F"/>
    <w:rsid w:val="1C968526"/>
    <w:rsid w:val="1CCD03C5"/>
    <w:rsid w:val="1E136BAE"/>
    <w:rsid w:val="201AA4BB"/>
    <w:rsid w:val="23D413FF"/>
    <w:rsid w:val="2B2E2ED1"/>
    <w:rsid w:val="2C618BDE"/>
    <w:rsid w:val="325D455A"/>
    <w:rsid w:val="4130FC4F"/>
    <w:rsid w:val="41E0C472"/>
    <w:rsid w:val="438D3A95"/>
    <w:rsid w:val="4838BE19"/>
    <w:rsid w:val="532E732E"/>
    <w:rsid w:val="5B218BA6"/>
    <w:rsid w:val="607E532F"/>
    <w:rsid w:val="640FEEF5"/>
    <w:rsid w:val="6766AC61"/>
    <w:rsid w:val="68D57F40"/>
    <w:rsid w:val="68E55951"/>
    <w:rsid w:val="6D896F12"/>
    <w:rsid w:val="72822302"/>
    <w:rsid w:val="7384F5BD"/>
    <w:rsid w:val="778291A7"/>
    <w:rsid w:val="7A58E252"/>
    <w:rsid w:val="7C4DE36E"/>
    <w:rsid w:val="7CD9330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C0356BB"/>
  <w15:chartTrackingRefBased/>
  <w15:docId w15:val="{A262D685-0BD4-C94C-A707-DA94B4933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241C"/>
    <w:pPr>
      <w:spacing w:after="120" w:line="264" w:lineRule="auto"/>
    </w:pPr>
    <w:rPr>
      <w:sz w:val="20"/>
    </w:rPr>
  </w:style>
  <w:style w:type="paragraph" w:styleId="Heading1">
    <w:name w:val="heading 1"/>
    <w:basedOn w:val="Normal"/>
    <w:next w:val="Normal"/>
    <w:link w:val="Heading1Char"/>
    <w:autoRedefine/>
    <w:uiPriority w:val="9"/>
    <w:qFormat/>
    <w:rsid w:val="00BE76F9"/>
    <w:pPr>
      <w:keepNext/>
      <w:keepLines/>
      <w:spacing w:before="160" w:after="100" w:line="240" w:lineRule="auto"/>
      <w:outlineLvl w:val="0"/>
    </w:pPr>
    <w:rPr>
      <w:rFonts w:ascii="Rubik Medium" w:eastAsia="SimHei" w:hAnsi="Rubik Medium" w:cs="Times New Roman Bold"/>
      <w:b/>
      <w:color w:val="295D5B"/>
      <w:sz w:val="32"/>
      <w:szCs w:val="32"/>
      <w:lang w:eastAsia="en-US"/>
    </w:rPr>
  </w:style>
  <w:style w:type="paragraph" w:styleId="Heading2">
    <w:name w:val="heading 2"/>
    <w:basedOn w:val="Normal"/>
    <w:next w:val="Normal"/>
    <w:link w:val="Heading2Char"/>
    <w:uiPriority w:val="9"/>
    <w:unhideWhenUsed/>
    <w:qFormat/>
    <w:rsid w:val="00695166"/>
    <w:pPr>
      <w:keepNext/>
      <w:keepLines/>
      <w:spacing w:before="120" w:after="60" w:line="240" w:lineRule="auto"/>
      <w:outlineLvl w:val="1"/>
    </w:pPr>
    <w:rPr>
      <w:rFonts w:ascii="Georgia" w:eastAsia="SimHei" w:hAnsi="Georgia" w:cs="Times New Roman"/>
      <w:b/>
      <w:sz w:val="24"/>
      <w:szCs w:val="26"/>
      <w:lang w:eastAsia="en-US"/>
    </w:rPr>
  </w:style>
  <w:style w:type="paragraph" w:styleId="Heading3">
    <w:name w:val="heading 3"/>
    <w:basedOn w:val="Normal"/>
    <w:next w:val="Normal"/>
    <w:link w:val="Heading3Char"/>
    <w:uiPriority w:val="9"/>
    <w:unhideWhenUsed/>
    <w:qFormat/>
    <w:rsid w:val="00695166"/>
    <w:pPr>
      <w:keepNext/>
      <w:keepLines/>
      <w:spacing w:before="120" w:after="60" w:line="240" w:lineRule="auto"/>
      <w:outlineLvl w:val="2"/>
    </w:pPr>
    <w:rPr>
      <w:rFonts w:ascii="Georgia" w:eastAsia="SimHei" w:hAnsi="Georgia" w:cs="Times New Roman"/>
      <w:color w:val="094183"/>
      <w:sz w:val="24"/>
      <w:szCs w:val="24"/>
      <w:lang w:eastAsia="en-US"/>
    </w:rPr>
  </w:style>
  <w:style w:type="paragraph" w:styleId="Heading4">
    <w:name w:val="heading 4"/>
    <w:basedOn w:val="Normal"/>
    <w:next w:val="Normal"/>
    <w:link w:val="Heading4Char"/>
    <w:uiPriority w:val="9"/>
    <w:unhideWhenUsed/>
    <w:qFormat/>
    <w:rsid w:val="00695166"/>
    <w:pPr>
      <w:keepNext/>
      <w:keepLines/>
      <w:spacing w:before="120" w:after="60" w:line="240" w:lineRule="auto"/>
      <w:outlineLvl w:val="3"/>
    </w:pPr>
    <w:rPr>
      <w:rFonts w:ascii="Georgia" w:eastAsia="SimHei" w:hAnsi="Georgia" w:cs="Times New Roman"/>
      <w:b/>
      <w:iCs/>
      <w:lang w:eastAsia="en-US"/>
    </w:rPr>
  </w:style>
  <w:style w:type="paragraph" w:styleId="Heading5">
    <w:name w:val="heading 5"/>
    <w:basedOn w:val="Normal"/>
    <w:next w:val="Normal"/>
    <w:link w:val="Heading5Char"/>
    <w:uiPriority w:val="9"/>
    <w:unhideWhenUsed/>
    <w:rsid w:val="00340AA0"/>
    <w:pPr>
      <w:keepNext/>
      <w:keepLines/>
      <w:spacing w:after="6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unhideWhenUsed/>
    <w:rsid w:val="00340AA0"/>
    <w:pPr>
      <w:keepNext/>
      <w:keepLines/>
      <w:outlineLvl w:val="5"/>
    </w:pPr>
    <w:rPr>
      <w:rFonts w:asciiTheme="majorHAnsi" w:eastAsiaTheme="majorEastAsia" w:hAnsiTheme="majorHAnsi" w:cstheme="majorBidi"/>
      <w:color w:val="094183" w:themeColor="text2"/>
    </w:rPr>
  </w:style>
  <w:style w:type="paragraph" w:styleId="Heading7">
    <w:name w:val="heading 7"/>
    <w:basedOn w:val="Normal"/>
    <w:next w:val="Normal"/>
    <w:link w:val="Heading7Char"/>
    <w:uiPriority w:val="9"/>
    <w:unhideWhenUsed/>
    <w:rsid w:val="006342D8"/>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6342D8"/>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semiHidden/>
    <w:unhideWhenUsed/>
    <w:rsid w:val="00754259"/>
    <w:pPr>
      <w:tabs>
        <w:tab w:val="left" w:pos="480"/>
        <w:tab w:val="left" w:pos="960"/>
        <w:tab w:val="left" w:pos="1440"/>
        <w:tab w:val="left" w:pos="1920"/>
        <w:tab w:val="left" w:pos="2400"/>
        <w:tab w:val="left" w:pos="2880"/>
        <w:tab w:val="left" w:pos="3360"/>
        <w:tab w:val="left" w:pos="3840"/>
        <w:tab w:val="left" w:pos="4320"/>
      </w:tabs>
      <w:spacing w:line="276" w:lineRule="auto"/>
    </w:pPr>
  </w:style>
  <w:style w:type="character" w:customStyle="1" w:styleId="MacroTextChar">
    <w:name w:val="Macro Text Char"/>
    <w:basedOn w:val="DefaultParagraphFont"/>
    <w:link w:val="MacroText"/>
    <w:uiPriority w:val="99"/>
    <w:semiHidden/>
    <w:rsid w:val="00754259"/>
    <w:rPr>
      <w:sz w:val="20"/>
      <w:szCs w:val="20"/>
    </w:rPr>
  </w:style>
  <w:style w:type="paragraph" w:styleId="ListBullet">
    <w:name w:val="List Bullet"/>
    <w:basedOn w:val="Normal"/>
    <w:uiPriority w:val="99"/>
    <w:unhideWhenUsed/>
    <w:qFormat/>
    <w:rsid w:val="000E5133"/>
    <w:pPr>
      <w:ind w:left="340" w:hanging="340"/>
      <w:contextualSpacing/>
    </w:pPr>
  </w:style>
  <w:style w:type="paragraph" w:styleId="ListBullet2">
    <w:name w:val="List Bullet 2"/>
    <w:basedOn w:val="Normal"/>
    <w:uiPriority w:val="99"/>
    <w:unhideWhenUsed/>
    <w:qFormat/>
    <w:rsid w:val="000E5133"/>
    <w:pPr>
      <w:ind w:left="680" w:hanging="340"/>
      <w:contextualSpacing/>
    </w:pPr>
  </w:style>
  <w:style w:type="paragraph" w:styleId="ListBullet3">
    <w:name w:val="List Bullet 3"/>
    <w:basedOn w:val="Normal"/>
    <w:uiPriority w:val="99"/>
    <w:unhideWhenUsed/>
    <w:rsid w:val="000E5133"/>
    <w:pPr>
      <w:ind w:left="1021" w:hanging="341"/>
      <w:contextualSpacing/>
    </w:pPr>
  </w:style>
  <w:style w:type="paragraph" w:styleId="ListBullet4">
    <w:name w:val="List Bullet 4"/>
    <w:basedOn w:val="Normal"/>
    <w:uiPriority w:val="99"/>
    <w:unhideWhenUsed/>
    <w:rsid w:val="000E5133"/>
    <w:pPr>
      <w:ind w:left="1361" w:hanging="340"/>
      <w:contextualSpacing/>
    </w:pPr>
  </w:style>
  <w:style w:type="numbering" w:customStyle="1" w:styleId="Bullets">
    <w:name w:val="Bullets"/>
    <w:uiPriority w:val="99"/>
    <w:rsid w:val="000E5133"/>
    <w:pPr>
      <w:numPr>
        <w:numId w:val="11"/>
      </w:numPr>
    </w:pPr>
  </w:style>
  <w:style w:type="paragraph" w:styleId="ListNumber">
    <w:name w:val="List Number"/>
    <w:basedOn w:val="Normal"/>
    <w:uiPriority w:val="99"/>
    <w:unhideWhenUsed/>
    <w:qFormat/>
    <w:rsid w:val="000E5133"/>
    <w:pPr>
      <w:ind w:left="340" w:hanging="340"/>
      <w:contextualSpacing/>
    </w:pPr>
  </w:style>
  <w:style w:type="paragraph" w:styleId="ListNumber2">
    <w:name w:val="List Number 2"/>
    <w:basedOn w:val="Normal"/>
    <w:uiPriority w:val="99"/>
    <w:unhideWhenUsed/>
    <w:qFormat/>
    <w:rsid w:val="000E5133"/>
    <w:pPr>
      <w:ind w:left="680" w:hanging="680"/>
      <w:contextualSpacing/>
    </w:pPr>
  </w:style>
  <w:style w:type="paragraph" w:styleId="ListNumber3">
    <w:name w:val="List Number 3"/>
    <w:basedOn w:val="Normal"/>
    <w:uiPriority w:val="99"/>
    <w:unhideWhenUsed/>
    <w:qFormat/>
    <w:rsid w:val="000E5133"/>
    <w:pPr>
      <w:ind w:left="1021" w:hanging="1021"/>
      <w:contextualSpacing/>
    </w:pPr>
  </w:style>
  <w:style w:type="paragraph" w:styleId="ListNumber4">
    <w:name w:val="List Number 4"/>
    <w:basedOn w:val="Normal"/>
    <w:uiPriority w:val="99"/>
    <w:unhideWhenUsed/>
    <w:qFormat/>
    <w:rsid w:val="000E5133"/>
    <w:pPr>
      <w:ind w:left="1361" w:hanging="1361"/>
      <w:contextualSpacing/>
    </w:pPr>
  </w:style>
  <w:style w:type="numbering" w:customStyle="1" w:styleId="NumberedLists">
    <w:name w:val="Numbered Lists"/>
    <w:uiPriority w:val="99"/>
    <w:rsid w:val="000E5133"/>
    <w:pPr>
      <w:numPr>
        <w:numId w:val="13"/>
      </w:numPr>
    </w:pPr>
  </w:style>
  <w:style w:type="paragraph" w:styleId="ListContinue">
    <w:name w:val="List Continue"/>
    <w:basedOn w:val="Normal"/>
    <w:uiPriority w:val="99"/>
    <w:unhideWhenUsed/>
    <w:rsid w:val="005D6E2A"/>
    <w:pPr>
      <w:ind w:left="340"/>
    </w:pPr>
  </w:style>
  <w:style w:type="paragraph" w:styleId="ListNumber5">
    <w:name w:val="List Number 5"/>
    <w:basedOn w:val="Normal"/>
    <w:uiPriority w:val="99"/>
    <w:unhideWhenUsed/>
    <w:rsid w:val="000E5133"/>
    <w:pPr>
      <w:ind w:left="1701" w:hanging="1701"/>
      <w:contextualSpacing/>
    </w:pPr>
  </w:style>
  <w:style w:type="paragraph" w:styleId="ListContinue2">
    <w:name w:val="List Continue 2"/>
    <w:basedOn w:val="Normal"/>
    <w:uiPriority w:val="99"/>
    <w:unhideWhenUsed/>
    <w:rsid w:val="005D6E2A"/>
    <w:pPr>
      <w:ind w:left="680"/>
    </w:pPr>
  </w:style>
  <w:style w:type="paragraph" w:styleId="ListContinue3">
    <w:name w:val="List Continue 3"/>
    <w:basedOn w:val="Normal"/>
    <w:uiPriority w:val="99"/>
    <w:semiHidden/>
    <w:unhideWhenUsed/>
    <w:rsid w:val="005D6E2A"/>
    <w:pPr>
      <w:ind w:left="1021"/>
    </w:pPr>
  </w:style>
  <w:style w:type="paragraph" w:styleId="ListContinue4">
    <w:name w:val="List Continue 4"/>
    <w:basedOn w:val="Normal"/>
    <w:uiPriority w:val="99"/>
    <w:semiHidden/>
    <w:unhideWhenUsed/>
    <w:rsid w:val="005D6E2A"/>
    <w:pPr>
      <w:ind w:left="1361"/>
    </w:pPr>
  </w:style>
  <w:style w:type="paragraph" w:styleId="Header">
    <w:name w:val="header"/>
    <w:basedOn w:val="Normal"/>
    <w:link w:val="HeaderChar"/>
    <w:uiPriority w:val="99"/>
    <w:unhideWhenUsed/>
    <w:rsid w:val="00304881"/>
    <w:pPr>
      <w:tabs>
        <w:tab w:val="center" w:pos="4513"/>
        <w:tab w:val="right" w:pos="9026"/>
      </w:tabs>
      <w:spacing w:line="240" w:lineRule="auto"/>
      <w:jc w:val="right"/>
    </w:pPr>
  </w:style>
  <w:style w:type="character" w:customStyle="1" w:styleId="HeaderChar">
    <w:name w:val="Header Char"/>
    <w:basedOn w:val="DefaultParagraphFont"/>
    <w:link w:val="Header"/>
    <w:uiPriority w:val="99"/>
    <w:rsid w:val="00304881"/>
    <w:rPr>
      <w:sz w:val="20"/>
    </w:rPr>
  </w:style>
  <w:style w:type="paragraph" w:styleId="Footer">
    <w:name w:val="footer"/>
    <w:basedOn w:val="Normal"/>
    <w:link w:val="FooterChar"/>
    <w:uiPriority w:val="99"/>
    <w:unhideWhenUsed/>
    <w:rsid w:val="00E10F5F"/>
    <w:pPr>
      <w:tabs>
        <w:tab w:val="center" w:pos="4513"/>
        <w:tab w:val="right" w:pos="9026"/>
      </w:tabs>
      <w:spacing w:after="0" w:line="240" w:lineRule="auto"/>
    </w:pPr>
    <w:rPr>
      <w:color w:val="094183" w:themeColor="text2"/>
    </w:rPr>
  </w:style>
  <w:style w:type="character" w:customStyle="1" w:styleId="FooterChar">
    <w:name w:val="Footer Char"/>
    <w:basedOn w:val="DefaultParagraphFont"/>
    <w:link w:val="Footer"/>
    <w:uiPriority w:val="99"/>
    <w:rsid w:val="00E10F5F"/>
    <w:rPr>
      <w:color w:val="094183" w:themeColor="text2"/>
      <w:sz w:val="20"/>
    </w:rPr>
  </w:style>
  <w:style w:type="paragraph" w:styleId="Title">
    <w:name w:val="Title"/>
    <w:basedOn w:val="Normal"/>
    <w:next w:val="Normal"/>
    <w:link w:val="TitleChar"/>
    <w:uiPriority w:val="10"/>
    <w:qFormat/>
    <w:rsid w:val="008C2D5A"/>
    <w:pPr>
      <w:framePr w:w="6804" w:hSpace="2835" w:wrap="around" w:vAnchor="page" w:hAnchor="margin" w:y="5104" w:anchorLock="1"/>
      <w:spacing w:after="0" w:line="240" w:lineRule="auto"/>
      <w:contextualSpacing/>
    </w:pPr>
    <w:rPr>
      <w:rFonts w:asciiTheme="majorHAnsi" w:eastAsiaTheme="majorEastAsia" w:hAnsiTheme="majorHAnsi" w:cstheme="majorBidi"/>
      <w:b/>
      <w:color w:val="094183" w:themeColor="text2"/>
      <w:spacing w:val="-10"/>
      <w:kern w:val="28"/>
      <w:sz w:val="48"/>
      <w:szCs w:val="56"/>
    </w:rPr>
  </w:style>
  <w:style w:type="character" w:customStyle="1" w:styleId="TitleChar">
    <w:name w:val="Title Char"/>
    <w:basedOn w:val="DefaultParagraphFont"/>
    <w:link w:val="Title"/>
    <w:uiPriority w:val="10"/>
    <w:rsid w:val="008C2D5A"/>
    <w:rPr>
      <w:rFonts w:asciiTheme="majorHAnsi" w:eastAsiaTheme="majorEastAsia" w:hAnsiTheme="majorHAnsi" w:cstheme="majorBidi"/>
      <w:b/>
      <w:color w:val="094183" w:themeColor="text2"/>
      <w:spacing w:val="-10"/>
      <w:kern w:val="28"/>
      <w:sz w:val="48"/>
      <w:szCs w:val="56"/>
    </w:rPr>
  </w:style>
  <w:style w:type="character" w:styleId="PlaceholderText">
    <w:name w:val="Placeholder Text"/>
    <w:basedOn w:val="DefaultParagraphFont"/>
    <w:uiPriority w:val="99"/>
    <w:semiHidden/>
    <w:rsid w:val="00BC71CA"/>
    <w:rPr>
      <w:color w:val="808080"/>
    </w:rPr>
  </w:style>
  <w:style w:type="paragraph" w:styleId="Subtitle">
    <w:name w:val="Subtitle"/>
    <w:basedOn w:val="Normal"/>
    <w:next w:val="Normal"/>
    <w:link w:val="SubtitleChar"/>
    <w:uiPriority w:val="11"/>
    <w:qFormat/>
    <w:rsid w:val="008C2D5A"/>
    <w:pPr>
      <w:framePr w:w="6804" w:hSpace="2835" w:wrap="around" w:vAnchor="page" w:hAnchor="margin" w:y="5104" w:anchorLock="1"/>
      <w:numPr>
        <w:ilvl w:val="1"/>
      </w:numPr>
      <w:spacing w:before="360"/>
    </w:pPr>
    <w:rPr>
      <w:color w:val="000000" w:themeColor="text1"/>
      <w:sz w:val="32"/>
    </w:rPr>
  </w:style>
  <w:style w:type="character" w:customStyle="1" w:styleId="SubtitleChar">
    <w:name w:val="Subtitle Char"/>
    <w:basedOn w:val="DefaultParagraphFont"/>
    <w:link w:val="Subtitle"/>
    <w:uiPriority w:val="11"/>
    <w:rsid w:val="008C2D5A"/>
    <w:rPr>
      <w:color w:val="000000" w:themeColor="text1"/>
      <w:sz w:val="32"/>
    </w:rPr>
  </w:style>
  <w:style w:type="paragraph" w:customStyle="1" w:styleId="Coverimage-portrait">
    <w:name w:val="Cover image-portrait"/>
    <w:basedOn w:val="Normal"/>
    <w:rsid w:val="00C55EEB"/>
    <w:pPr>
      <w:framePr w:w="11340" w:h="16273" w:hRule="exact" w:wrap="around" w:vAnchor="page" w:hAnchor="page" w:x="285" w:y="285" w:anchorLock="1"/>
    </w:pPr>
  </w:style>
  <w:style w:type="character" w:customStyle="1" w:styleId="Heading1Char">
    <w:name w:val="Heading 1 Char"/>
    <w:basedOn w:val="DefaultParagraphFont"/>
    <w:link w:val="Heading1"/>
    <w:uiPriority w:val="9"/>
    <w:rsid w:val="00BE76F9"/>
    <w:rPr>
      <w:rFonts w:ascii="Rubik Medium" w:eastAsia="SimHei" w:hAnsi="Rubik Medium" w:cs="Times New Roman Bold"/>
      <w:b/>
      <w:color w:val="295D5B"/>
      <w:sz w:val="32"/>
      <w:szCs w:val="32"/>
      <w:lang w:eastAsia="en-US"/>
    </w:rPr>
  </w:style>
  <w:style w:type="paragraph" w:customStyle="1" w:styleId="NumberedHeading1">
    <w:name w:val="Numbered Heading 1"/>
    <w:basedOn w:val="Heading1"/>
    <w:qFormat/>
    <w:rsid w:val="000E5133"/>
    <w:pPr>
      <w:ind w:left="340" w:hanging="340"/>
    </w:pPr>
  </w:style>
  <w:style w:type="character" w:customStyle="1" w:styleId="Heading2Char">
    <w:name w:val="Heading 2 Char"/>
    <w:basedOn w:val="DefaultParagraphFont"/>
    <w:link w:val="Heading2"/>
    <w:uiPriority w:val="9"/>
    <w:rsid w:val="00695166"/>
    <w:rPr>
      <w:rFonts w:ascii="Georgia" w:eastAsia="SimHei" w:hAnsi="Georgia" w:cs="Times New Roman"/>
      <w:b/>
      <w:sz w:val="24"/>
      <w:szCs w:val="26"/>
      <w:lang w:eastAsia="en-US"/>
    </w:rPr>
  </w:style>
  <w:style w:type="character" w:customStyle="1" w:styleId="Heading3Char">
    <w:name w:val="Heading 3 Char"/>
    <w:basedOn w:val="DefaultParagraphFont"/>
    <w:link w:val="Heading3"/>
    <w:uiPriority w:val="9"/>
    <w:rsid w:val="00695166"/>
    <w:rPr>
      <w:rFonts w:ascii="Georgia" w:eastAsia="SimHei" w:hAnsi="Georgia" w:cs="Times New Roman"/>
      <w:color w:val="094183"/>
      <w:sz w:val="24"/>
      <w:szCs w:val="24"/>
      <w:lang w:eastAsia="en-US"/>
    </w:rPr>
  </w:style>
  <w:style w:type="character" w:customStyle="1" w:styleId="Heading4Char">
    <w:name w:val="Heading 4 Char"/>
    <w:basedOn w:val="DefaultParagraphFont"/>
    <w:link w:val="Heading4"/>
    <w:uiPriority w:val="9"/>
    <w:rsid w:val="00695166"/>
    <w:rPr>
      <w:rFonts w:ascii="Georgia" w:eastAsia="SimHei" w:hAnsi="Georgia" w:cs="Times New Roman"/>
      <w:b/>
      <w:iCs/>
      <w:sz w:val="20"/>
      <w:lang w:eastAsia="en-US"/>
    </w:rPr>
  </w:style>
  <w:style w:type="paragraph" w:customStyle="1" w:styleId="NumberedHeading2">
    <w:name w:val="Numbered Heading 2"/>
    <w:basedOn w:val="Heading2"/>
    <w:qFormat/>
    <w:rsid w:val="000E5133"/>
    <w:pPr>
      <w:ind w:left="680" w:hanging="680"/>
    </w:pPr>
  </w:style>
  <w:style w:type="paragraph" w:customStyle="1" w:styleId="NumberedHeading3">
    <w:name w:val="Numbered Heading 3"/>
    <w:basedOn w:val="Heading3"/>
    <w:qFormat/>
    <w:rsid w:val="000E5133"/>
    <w:pPr>
      <w:ind w:left="1021" w:hanging="1021"/>
    </w:pPr>
  </w:style>
  <w:style w:type="numbering" w:customStyle="1" w:styleId="NumberedHeadings">
    <w:name w:val="Numbered Headings"/>
    <w:uiPriority w:val="99"/>
    <w:rsid w:val="000E5133"/>
    <w:pPr>
      <w:numPr>
        <w:numId w:val="15"/>
      </w:numPr>
    </w:pPr>
  </w:style>
  <w:style w:type="paragraph" w:styleId="TOCHeading">
    <w:name w:val="TOC Heading"/>
    <w:basedOn w:val="Heading1"/>
    <w:next w:val="Normal"/>
    <w:uiPriority w:val="39"/>
    <w:unhideWhenUsed/>
    <w:rsid w:val="001D0D30"/>
    <w:pPr>
      <w:spacing w:before="0" w:after="560" w:line="228" w:lineRule="auto"/>
      <w:outlineLvl w:val="9"/>
    </w:pPr>
    <w:rPr>
      <w:sz w:val="39"/>
    </w:rPr>
  </w:style>
  <w:style w:type="paragraph" w:customStyle="1" w:styleId="Coverimage-landscape">
    <w:name w:val="Cover image-landscape"/>
    <w:basedOn w:val="Coverimage-portrait"/>
    <w:rsid w:val="00246067"/>
    <w:pPr>
      <w:framePr w:w="7938" w:h="10773" w:hRule="exact" w:wrap="around" w:x="8336" w:y="568"/>
    </w:pPr>
  </w:style>
  <w:style w:type="paragraph" w:styleId="TOC1">
    <w:name w:val="toc 1"/>
    <w:basedOn w:val="Normal"/>
    <w:next w:val="Normal"/>
    <w:autoRedefine/>
    <w:uiPriority w:val="39"/>
    <w:unhideWhenUsed/>
    <w:rsid w:val="001274E2"/>
    <w:pPr>
      <w:tabs>
        <w:tab w:val="right" w:leader="dot" w:pos="9015"/>
      </w:tabs>
      <w:spacing w:before="240" w:after="40" w:line="240" w:lineRule="auto"/>
      <w:ind w:right="567"/>
    </w:pPr>
    <w:rPr>
      <w:b/>
      <w:color w:val="094183" w:themeColor="text2"/>
      <w:sz w:val="24"/>
    </w:rPr>
  </w:style>
  <w:style w:type="paragraph" w:styleId="TOC2">
    <w:name w:val="toc 2"/>
    <w:basedOn w:val="Normal"/>
    <w:next w:val="Normal"/>
    <w:autoRedefine/>
    <w:uiPriority w:val="39"/>
    <w:unhideWhenUsed/>
    <w:rsid w:val="00114425"/>
    <w:pPr>
      <w:tabs>
        <w:tab w:val="right" w:leader="dot" w:pos="9015"/>
      </w:tabs>
      <w:spacing w:after="100"/>
      <w:ind w:left="567" w:right="567" w:hanging="567"/>
    </w:pPr>
    <w:rPr>
      <w:color w:val="094183" w:themeColor="text2"/>
      <w:sz w:val="24"/>
    </w:rPr>
  </w:style>
  <w:style w:type="paragraph" w:styleId="TOC3">
    <w:name w:val="toc 3"/>
    <w:basedOn w:val="Normal"/>
    <w:next w:val="Normal"/>
    <w:autoRedefine/>
    <w:uiPriority w:val="39"/>
    <w:unhideWhenUsed/>
    <w:rsid w:val="001108AF"/>
    <w:pPr>
      <w:tabs>
        <w:tab w:val="right" w:pos="9582"/>
      </w:tabs>
      <w:spacing w:after="100"/>
      <w:ind w:right="567"/>
    </w:pPr>
  </w:style>
  <w:style w:type="character" w:styleId="Hyperlink">
    <w:name w:val="Hyperlink"/>
    <w:basedOn w:val="DefaultParagraphFont"/>
    <w:uiPriority w:val="99"/>
    <w:unhideWhenUsed/>
    <w:rsid w:val="001108AF"/>
    <w:rPr>
      <w:color w:val="000000" w:themeColor="hyperlink"/>
      <w:u w:val="single"/>
    </w:rPr>
  </w:style>
  <w:style w:type="paragraph" w:styleId="TOC4">
    <w:name w:val="toc 4"/>
    <w:basedOn w:val="Normal"/>
    <w:next w:val="Normal"/>
    <w:autoRedefine/>
    <w:uiPriority w:val="39"/>
    <w:unhideWhenUsed/>
    <w:rsid w:val="001108AF"/>
    <w:pPr>
      <w:tabs>
        <w:tab w:val="right" w:pos="9582"/>
      </w:tabs>
      <w:spacing w:after="100"/>
      <w:ind w:left="567" w:hanging="567"/>
    </w:pPr>
  </w:style>
  <w:style w:type="paragraph" w:styleId="TOC5">
    <w:name w:val="toc 5"/>
    <w:basedOn w:val="Normal"/>
    <w:next w:val="Normal"/>
    <w:autoRedefine/>
    <w:uiPriority w:val="39"/>
    <w:unhideWhenUsed/>
    <w:rsid w:val="00837F62"/>
    <w:pPr>
      <w:tabs>
        <w:tab w:val="right" w:pos="9582"/>
        <w:tab w:val="right" w:pos="9628"/>
      </w:tabs>
      <w:spacing w:after="100"/>
      <w:ind w:left="567" w:right="567"/>
    </w:pPr>
  </w:style>
  <w:style w:type="paragraph" w:styleId="TOC6">
    <w:name w:val="toc 6"/>
    <w:basedOn w:val="Normal"/>
    <w:next w:val="Normal"/>
    <w:autoRedefine/>
    <w:uiPriority w:val="39"/>
    <w:unhideWhenUsed/>
    <w:rsid w:val="001108AF"/>
    <w:pPr>
      <w:tabs>
        <w:tab w:val="right" w:pos="9582"/>
      </w:tabs>
      <w:spacing w:after="100"/>
      <w:ind w:left="1134" w:right="567" w:hanging="567"/>
    </w:pPr>
  </w:style>
  <w:style w:type="character" w:customStyle="1" w:styleId="Heading5Char">
    <w:name w:val="Heading 5 Char"/>
    <w:basedOn w:val="DefaultParagraphFont"/>
    <w:link w:val="Heading5"/>
    <w:uiPriority w:val="9"/>
    <w:rsid w:val="00340AA0"/>
    <w:rPr>
      <w:rFonts w:asciiTheme="majorHAnsi" w:eastAsiaTheme="majorEastAsia" w:hAnsiTheme="majorHAnsi" w:cstheme="majorBidi"/>
      <w:b/>
      <w:sz w:val="20"/>
    </w:rPr>
  </w:style>
  <w:style w:type="character" w:customStyle="1" w:styleId="Heading6Char">
    <w:name w:val="Heading 6 Char"/>
    <w:basedOn w:val="DefaultParagraphFont"/>
    <w:link w:val="Heading6"/>
    <w:uiPriority w:val="9"/>
    <w:rsid w:val="00340AA0"/>
    <w:rPr>
      <w:rFonts w:asciiTheme="majorHAnsi" w:eastAsiaTheme="majorEastAsia" w:hAnsiTheme="majorHAnsi" w:cstheme="majorBidi"/>
      <w:color w:val="094183" w:themeColor="text2"/>
      <w:sz w:val="20"/>
    </w:rPr>
  </w:style>
  <w:style w:type="character" w:customStyle="1" w:styleId="Heading7Char">
    <w:name w:val="Heading 7 Char"/>
    <w:basedOn w:val="DefaultParagraphFont"/>
    <w:link w:val="Heading7"/>
    <w:uiPriority w:val="9"/>
    <w:rsid w:val="006342D8"/>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rsid w:val="006342D8"/>
    <w:rPr>
      <w:rFonts w:asciiTheme="majorHAnsi" w:eastAsiaTheme="majorEastAsia" w:hAnsiTheme="majorHAnsi" w:cstheme="majorBidi"/>
      <w:sz w:val="21"/>
      <w:szCs w:val="21"/>
    </w:rPr>
  </w:style>
  <w:style w:type="paragraph" w:styleId="NoSpacing">
    <w:name w:val="No Spacing"/>
    <w:uiPriority w:val="1"/>
    <w:qFormat/>
    <w:rsid w:val="00C8566B"/>
    <w:pPr>
      <w:spacing w:after="0" w:line="264" w:lineRule="auto"/>
    </w:pPr>
    <w:rPr>
      <w:sz w:val="20"/>
    </w:rPr>
  </w:style>
  <w:style w:type="paragraph" w:styleId="Date">
    <w:name w:val="Date"/>
    <w:basedOn w:val="Normal"/>
    <w:next w:val="Normal"/>
    <w:link w:val="DateChar"/>
    <w:uiPriority w:val="99"/>
    <w:unhideWhenUsed/>
    <w:rsid w:val="008C2D5A"/>
    <w:pPr>
      <w:framePr w:w="6804" w:hSpace="2835" w:wrap="around" w:vAnchor="page" w:hAnchor="margin" w:y="5104" w:anchorLock="1"/>
    </w:pPr>
  </w:style>
  <w:style w:type="character" w:customStyle="1" w:styleId="DateChar">
    <w:name w:val="Date Char"/>
    <w:basedOn w:val="DefaultParagraphFont"/>
    <w:link w:val="Date"/>
    <w:uiPriority w:val="99"/>
    <w:rsid w:val="008C2D5A"/>
    <w:rPr>
      <w:sz w:val="20"/>
    </w:rPr>
  </w:style>
  <w:style w:type="paragraph" w:customStyle="1" w:styleId="Datecoverimage">
    <w:name w:val="Date cover image"/>
    <w:basedOn w:val="Date"/>
    <w:rsid w:val="0075751C"/>
    <w:pPr>
      <w:framePr w:wrap="around" w:y="7485"/>
    </w:pPr>
    <w:rPr>
      <w:color w:val="000000" w:themeColor="text1"/>
    </w:rPr>
  </w:style>
  <w:style w:type="paragraph" w:customStyle="1" w:styleId="AppendixTitle">
    <w:name w:val="Appendix Title"/>
    <w:basedOn w:val="Title"/>
    <w:next w:val="Normal"/>
    <w:rsid w:val="00342318"/>
    <w:pPr>
      <w:pageBreakBefore/>
      <w:framePr w:wrap="around" w:vAnchor="margin" w:hAnchor="text" w:y="1532"/>
      <w:tabs>
        <w:tab w:val="num" w:pos="1985"/>
      </w:tabs>
      <w:spacing w:after="360"/>
    </w:pPr>
    <w:rPr>
      <w:sz w:val="36"/>
    </w:rPr>
  </w:style>
  <w:style w:type="numbering" w:customStyle="1" w:styleId="Appendix">
    <w:name w:val="Appendix"/>
    <w:uiPriority w:val="99"/>
    <w:rsid w:val="00342318"/>
    <w:pPr>
      <w:numPr>
        <w:numId w:val="16"/>
      </w:numPr>
    </w:pPr>
  </w:style>
  <w:style w:type="paragraph" w:styleId="List">
    <w:name w:val="List"/>
    <w:basedOn w:val="Normal"/>
    <w:uiPriority w:val="99"/>
    <w:unhideWhenUsed/>
    <w:rsid w:val="00C07923"/>
    <w:pPr>
      <w:ind w:left="283" w:hanging="283"/>
      <w:contextualSpacing/>
    </w:pPr>
  </w:style>
  <w:style w:type="paragraph" w:styleId="List2">
    <w:name w:val="List 2"/>
    <w:basedOn w:val="Normal"/>
    <w:uiPriority w:val="99"/>
    <w:unhideWhenUsed/>
    <w:rsid w:val="00C07923"/>
    <w:pPr>
      <w:ind w:left="566" w:hanging="283"/>
      <w:contextualSpacing/>
    </w:pPr>
  </w:style>
  <w:style w:type="paragraph" w:customStyle="1" w:styleId="NumberedHeading4">
    <w:name w:val="Numbered Heading 4"/>
    <w:basedOn w:val="Heading4"/>
    <w:rsid w:val="00C07923"/>
    <w:pPr>
      <w:ind w:left="1021" w:hanging="1021"/>
    </w:pPr>
    <w:rPr>
      <w:b w:val="0"/>
      <w:caps/>
    </w:rPr>
  </w:style>
  <w:style w:type="numbering" w:customStyle="1" w:styleId="ListLetters">
    <w:name w:val="List Letters"/>
    <w:uiPriority w:val="99"/>
    <w:rsid w:val="00C07923"/>
    <w:pPr>
      <w:numPr>
        <w:numId w:val="23"/>
      </w:numPr>
    </w:pPr>
  </w:style>
  <w:style w:type="table" w:styleId="TableGrid">
    <w:name w:val="Table Grid"/>
    <w:basedOn w:val="TableNormal"/>
    <w:uiPriority w:val="39"/>
    <w:rsid w:val="00C07923"/>
    <w:pPr>
      <w:spacing w:after="0" w:line="240" w:lineRule="auto"/>
    </w:pPr>
    <w:rPr>
      <w:sz w:val="20"/>
    </w:rPr>
    <w:tblPr>
      <w:tblStyleRowBandSize w:val="1"/>
      <w:tblCellMar>
        <w:top w:w="57" w:type="dxa"/>
        <w:left w:w="57" w:type="dxa"/>
        <w:bottom w:w="57" w:type="dxa"/>
        <w:right w:w="85" w:type="dxa"/>
      </w:tblCellMar>
    </w:tblPr>
    <w:tblStylePr w:type="firstRow">
      <w:rPr>
        <w:b/>
        <w:color w:val="FFFFFF" w:themeColor="background1"/>
      </w:rPr>
      <w:tblPr/>
      <w:tcPr>
        <w:shd w:val="clear" w:color="auto" w:fill="094183" w:themeFill="text2"/>
      </w:tcPr>
    </w:tblStylePr>
    <w:tblStylePr w:type="lastRow">
      <w:tblPr/>
      <w:tcPr>
        <w:tcBorders>
          <w:top w:val="single" w:sz="8" w:space="0" w:color="FFFFFF" w:themeColor="background2"/>
          <w:left w:val="nil"/>
          <w:bottom w:val="nil"/>
          <w:right w:val="nil"/>
          <w:insideH w:val="nil"/>
          <w:insideV w:val="nil"/>
          <w:tl2br w:val="nil"/>
          <w:tr2bl w:val="nil"/>
        </w:tcBorders>
        <w:shd w:val="clear" w:color="auto" w:fill="F2F2F2" w:themeFill="background1" w:themeFillShade="F2"/>
      </w:tcPr>
    </w:tblStylePr>
    <w:tblStylePr w:type="firstCol">
      <w:rPr>
        <w:b/>
      </w:rPr>
    </w:tblStylePr>
    <w:tblStylePr w:type="lastCol">
      <w:pPr>
        <w:wordWrap/>
        <w:jc w:val="right"/>
      </w:p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Caption">
    <w:name w:val="caption"/>
    <w:basedOn w:val="Normal"/>
    <w:next w:val="Normal"/>
    <w:uiPriority w:val="35"/>
    <w:unhideWhenUsed/>
    <w:rsid w:val="00C07923"/>
    <w:pPr>
      <w:spacing w:after="200" w:line="240" w:lineRule="auto"/>
    </w:pPr>
    <w:rPr>
      <w:b/>
      <w:iCs/>
      <w:sz w:val="24"/>
      <w:szCs w:val="18"/>
    </w:rPr>
  </w:style>
  <w:style w:type="paragraph" w:styleId="Quote">
    <w:name w:val="Quote"/>
    <w:basedOn w:val="Normal"/>
    <w:next w:val="Normal"/>
    <w:link w:val="QuoteChar"/>
    <w:uiPriority w:val="29"/>
    <w:rsid w:val="00C07923"/>
    <w:pPr>
      <w:spacing w:before="200" w:after="160" w:line="312" w:lineRule="auto"/>
      <w:ind w:left="340" w:right="862"/>
    </w:pPr>
    <w:rPr>
      <w:rFonts w:eastAsiaTheme="minorHAnsi"/>
      <w:i/>
      <w:iCs/>
      <w:color w:val="094183" w:themeColor="text2"/>
      <w:sz w:val="24"/>
      <w:lang w:eastAsia="en-US"/>
    </w:rPr>
  </w:style>
  <w:style w:type="character" w:customStyle="1" w:styleId="QuoteChar">
    <w:name w:val="Quote Char"/>
    <w:basedOn w:val="DefaultParagraphFont"/>
    <w:link w:val="Quote"/>
    <w:uiPriority w:val="29"/>
    <w:rsid w:val="00C07923"/>
    <w:rPr>
      <w:rFonts w:eastAsiaTheme="minorHAnsi"/>
      <w:i/>
      <w:iCs/>
      <w:color w:val="094183" w:themeColor="text2"/>
      <w:sz w:val="24"/>
      <w:lang w:eastAsia="en-US"/>
    </w:rPr>
  </w:style>
  <w:style w:type="paragraph" w:customStyle="1" w:styleId="Title-White">
    <w:name w:val="Title - White"/>
    <w:basedOn w:val="Title"/>
    <w:link w:val="Title-WhiteChar"/>
    <w:qFormat/>
    <w:rsid w:val="005B00AD"/>
    <w:pPr>
      <w:framePr w:wrap="around"/>
    </w:pPr>
    <w:rPr>
      <w:color w:val="FFFFFF" w:themeColor="background1"/>
    </w:rPr>
  </w:style>
  <w:style w:type="paragraph" w:customStyle="1" w:styleId="Subtitle-White">
    <w:name w:val="Subtitle - White"/>
    <w:basedOn w:val="Subtitle"/>
    <w:link w:val="Subtitle-WhiteChar"/>
    <w:qFormat/>
    <w:rsid w:val="005B00AD"/>
    <w:pPr>
      <w:framePr w:wrap="around"/>
    </w:pPr>
    <w:rPr>
      <w:color w:val="FFFFFF" w:themeColor="background1"/>
    </w:rPr>
  </w:style>
  <w:style w:type="character" w:customStyle="1" w:styleId="Title-WhiteChar">
    <w:name w:val="Title - White Char"/>
    <w:basedOn w:val="TitleChar"/>
    <w:link w:val="Title-White"/>
    <w:rsid w:val="005B00AD"/>
    <w:rPr>
      <w:rFonts w:asciiTheme="majorHAnsi" w:eastAsiaTheme="majorEastAsia" w:hAnsiTheme="majorHAnsi" w:cstheme="majorBidi"/>
      <w:b/>
      <w:color w:val="FFFFFF" w:themeColor="background1"/>
      <w:spacing w:val="-10"/>
      <w:kern w:val="28"/>
      <w:sz w:val="48"/>
      <w:szCs w:val="56"/>
    </w:rPr>
  </w:style>
  <w:style w:type="paragraph" w:styleId="NormalWeb">
    <w:name w:val="Normal (Web)"/>
    <w:basedOn w:val="Normal"/>
    <w:uiPriority w:val="99"/>
    <w:unhideWhenUsed/>
    <w:rsid w:val="00C55EEB"/>
    <w:pPr>
      <w:spacing w:before="100" w:beforeAutospacing="1" w:after="100" w:afterAutospacing="1" w:line="240" w:lineRule="auto"/>
    </w:pPr>
    <w:rPr>
      <w:rFonts w:ascii="Times New Roman" w:eastAsia="SimSun" w:hAnsi="Times New Roman" w:cs="Times New Roman"/>
      <w:sz w:val="24"/>
      <w:szCs w:val="24"/>
    </w:rPr>
  </w:style>
  <w:style w:type="paragraph" w:customStyle="1" w:styleId="Logo">
    <w:name w:val="Logo"/>
    <w:basedOn w:val="Normal"/>
    <w:qFormat/>
    <w:rsid w:val="001A1790"/>
    <w:pPr>
      <w:spacing w:after="240"/>
    </w:pPr>
  </w:style>
  <w:style w:type="paragraph" w:customStyle="1" w:styleId="Identifier">
    <w:name w:val="Identifier"/>
    <w:basedOn w:val="Normal"/>
    <w:qFormat/>
    <w:rsid w:val="001A1790"/>
    <w:pPr>
      <w:spacing w:before="120" w:after="360"/>
      <w:contextualSpacing/>
    </w:pPr>
    <w:rPr>
      <w:color w:val="094183" w:themeColor="text2"/>
      <w:sz w:val="28"/>
    </w:rPr>
  </w:style>
  <w:style w:type="paragraph" w:customStyle="1" w:styleId="Cornergraphic">
    <w:name w:val="Corner graphic"/>
    <w:basedOn w:val="Normal"/>
    <w:qFormat/>
    <w:rsid w:val="007976A1"/>
    <w:pPr>
      <w:framePr w:wrap="around" w:vAnchor="page" w:hAnchor="page" w:xAlign="right" w:yAlign="bottom" w:anchorLock="1"/>
      <w:spacing w:after="160" w:line="192" w:lineRule="auto"/>
      <w:jc w:val="right"/>
    </w:pPr>
    <w:rPr>
      <w:position w:val="-80"/>
    </w:rPr>
  </w:style>
  <w:style w:type="numbering" w:customStyle="1" w:styleId="Bullets1">
    <w:name w:val="Bullets1"/>
    <w:uiPriority w:val="99"/>
    <w:rsid w:val="00695166"/>
    <w:pPr>
      <w:numPr>
        <w:numId w:val="30"/>
      </w:numPr>
    </w:pPr>
  </w:style>
  <w:style w:type="paragraph" w:customStyle="1" w:styleId="Introduction">
    <w:name w:val="Introduction"/>
    <w:basedOn w:val="Normal"/>
    <w:link w:val="IntroductionChar"/>
    <w:qFormat/>
    <w:rsid w:val="00695166"/>
    <w:pPr>
      <w:keepNext/>
      <w:keepLines/>
      <w:spacing w:after="0" w:line="216" w:lineRule="auto"/>
      <w:outlineLvl w:val="0"/>
    </w:pPr>
    <w:rPr>
      <w:rFonts w:ascii="Calibri" w:eastAsia="SimHei" w:hAnsi="Calibri" w:cs="Times New Roman"/>
      <w:color w:val="094183"/>
      <w:sz w:val="28"/>
      <w:szCs w:val="32"/>
      <w:lang w:eastAsia="en-US"/>
    </w:rPr>
  </w:style>
  <w:style w:type="paragraph" w:customStyle="1" w:styleId="Pull-outBodyCopy">
    <w:name w:val="Pull-out Body Copy"/>
    <w:basedOn w:val="Normal"/>
    <w:link w:val="Pull-outBodyCopyChar"/>
    <w:qFormat/>
    <w:rsid w:val="00695166"/>
    <w:pPr>
      <w:pBdr>
        <w:top w:val="single" w:sz="4" w:space="6" w:color="094183" w:themeColor="text2"/>
        <w:left w:val="single" w:sz="4" w:space="6" w:color="094183" w:themeColor="text2"/>
        <w:bottom w:val="single" w:sz="4" w:space="6" w:color="094183" w:themeColor="text2"/>
        <w:right w:val="single" w:sz="4" w:space="6" w:color="094183" w:themeColor="text2"/>
      </w:pBdr>
      <w:shd w:val="clear" w:color="auto" w:fill="094183" w:themeFill="text2"/>
      <w:spacing w:before="80" w:after="80" w:line="312" w:lineRule="auto"/>
      <w:ind w:left="170" w:right="170"/>
    </w:pPr>
    <w:rPr>
      <w:rFonts w:eastAsiaTheme="minorHAnsi"/>
      <w:color w:val="FFFFFF" w:themeColor="background1"/>
      <w:lang w:eastAsia="en-US"/>
    </w:rPr>
  </w:style>
  <w:style w:type="character" w:customStyle="1" w:styleId="IntroductionChar">
    <w:name w:val="Introduction Char"/>
    <w:basedOn w:val="DefaultParagraphFont"/>
    <w:link w:val="Introduction"/>
    <w:rsid w:val="00695166"/>
    <w:rPr>
      <w:rFonts w:ascii="Calibri" w:eastAsia="SimHei" w:hAnsi="Calibri" w:cs="Times New Roman"/>
      <w:color w:val="094183"/>
      <w:sz w:val="28"/>
      <w:szCs w:val="32"/>
      <w:lang w:eastAsia="en-US"/>
    </w:rPr>
  </w:style>
  <w:style w:type="paragraph" w:customStyle="1" w:styleId="Pull-outHeading">
    <w:name w:val="Pull-out Heading"/>
    <w:basedOn w:val="Pull-outBodyCopy"/>
    <w:link w:val="Pull-outHeadingChar"/>
    <w:qFormat/>
    <w:rsid w:val="00695166"/>
    <w:rPr>
      <w:b/>
    </w:rPr>
  </w:style>
  <w:style w:type="character" w:customStyle="1" w:styleId="Pull-outBodyCopyChar">
    <w:name w:val="Pull-out Body Copy Char"/>
    <w:basedOn w:val="DefaultParagraphFont"/>
    <w:link w:val="Pull-outBodyCopy"/>
    <w:rsid w:val="00695166"/>
    <w:rPr>
      <w:rFonts w:eastAsiaTheme="minorHAnsi"/>
      <w:color w:val="FFFFFF" w:themeColor="background1"/>
      <w:sz w:val="20"/>
      <w:shd w:val="clear" w:color="auto" w:fill="094183" w:themeFill="text2"/>
      <w:lang w:eastAsia="en-US"/>
    </w:rPr>
  </w:style>
  <w:style w:type="paragraph" w:styleId="ListParagraph">
    <w:name w:val="List Paragraph"/>
    <w:basedOn w:val="Normal"/>
    <w:uiPriority w:val="34"/>
    <w:qFormat/>
    <w:rsid w:val="000E5133"/>
    <w:pPr>
      <w:ind w:left="340"/>
    </w:pPr>
  </w:style>
  <w:style w:type="character" w:customStyle="1" w:styleId="Pull-outHeadingChar">
    <w:name w:val="Pull-out Heading Char"/>
    <w:basedOn w:val="DefaultParagraphFont"/>
    <w:link w:val="Pull-outHeading"/>
    <w:rsid w:val="00695166"/>
    <w:rPr>
      <w:rFonts w:eastAsiaTheme="minorHAnsi"/>
      <w:b/>
      <w:color w:val="FFFFFF" w:themeColor="background1"/>
      <w:sz w:val="20"/>
      <w:shd w:val="clear" w:color="auto" w:fill="094183" w:themeFill="text2"/>
      <w:lang w:eastAsia="en-US"/>
    </w:rPr>
  </w:style>
  <w:style w:type="paragraph" w:customStyle="1" w:styleId="Pull-outBullets">
    <w:name w:val="Pull-out Bullets"/>
    <w:basedOn w:val="Pull-outBodyCopy"/>
    <w:link w:val="Pull-outBulletsChar"/>
    <w:qFormat/>
    <w:rsid w:val="00695166"/>
    <w:pPr>
      <w:numPr>
        <w:numId w:val="25"/>
      </w:numPr>
      <w:ind w:left="397" w:hanging="227"/>
    </w:pPr>
  </w:style>
  <w:style w:type="character" w:customStyle="1" w:styleId="Pull-outBulletsChar">
    <w:name w:val="Pull-out Bullets Char"/>
    <w:basedOn w:val="Pull-outBodyCopyChar"/>
    <w:link w:val="Pull-outBullets"/>
    <w:rsid w:val="00695166"/>
    <w:rPr>
      <w:rFonts w:eastAsiaTheme="minorHAnsi"/>
      <w:color w:val="FFFFFF" w:themeColor="background1"/>
      <w:sz w:val="20"/>
      <w:shd w:val="clear" w:color="auto" w:fill="094183" w:themeFill="text2"/>
      <w:lang w:eastAsia="en-US"/>
    </w:rPr>
  </w:style>
  <w:style w:type="character" w:customStyle="1" w:styleId="Subtitle-WhiteChar">
    <w:name w:val="Subtitle - White Char"/>
    <w:basedOn w:val="SubtitleChar"/>
    <w:link w:val="Subtitle-White"/>
    <w:rsid w:val="005B00AD"/>
    <w:rPr>
      <w:color w:val="FFFFFF" w:themeColor="background1"/>
      <w:sz w:val="32"/>
    </w:rPr>
  </w:style>
  <w:style w:type="paragraph" w:customStyle="1" w:styleId="Title-Divider">
    <w:name w:val="Title - Divider"/>
    <w:basedOn w:val="Title"/>
    <w:link w:val="Title-DividerChar"/>
    <w:qFormat/>
    <w:rsid w:val="00601E2F"/>
    <w:pPr>
      <w:framePr w:w="7371" w:wrap="notBeside" w:y="1078"/>
      <w:spacing w:after="310"/>
      <w:outlineLvl w:val="0"/>
    </w:pPr>
    <w:rPr>
      <w:spacing w:val="0"/>
    </w:rPr>
  </w:style>
  <w:style w:type="paragraph" w:customStyle="1" w:styleId="Subtitle-Divider">
    <w:name w:val="Subtitle - Divider"/>
    <w:basedOn w:val="Title-Divider"/>
    <w:link w:val="Subtitle-DividerChar"/>
    <w:qFormat/>
    <w:rsid w:val="00F962A9"/>
    <w:pPr>
      <w:framePr w:wrap="notBeside"/>
      <w:outlineLvl w:val="9"/>
    </w:pPr>
    <w:rPr>
      <w:rFonts w:asciiTheme="minorHAnsi" w:hAnsiTheme="minorHAnsi"/>
      <w:b w:val="0"/>
      <w:color w:val="000000" w:themeColor="text1"/>
      <w:sz w:val="32"/>
      <w:lang w:eastAsia="en-US"/>
    </w:rPr>
  </w:style>
  <w:style w:type="character" w:customStyle="1" w:styleId="Title-DividerChar">
    <w:name w:val="Title - Divider Char"/>
    <w:basedOn w:val="TitleChar"/>
    <w:link w:val="Title-Divider"/>
    <w:rsid w:val="00601E2F"/>
    <w:rPr>
      <w:rFonts w:asciiTheme="majorHAnsi" w:eastAsiaTheme="majorEastAsia" w:hAnsiTheme="majorHAnsi" w:cstheme="majorBidi"/>
      <w:b/>
      <w:color w:val="094183" w:themeColor="text2"/>
      <w:spacing w:val="-10"/>
      <w:kern w:val="28"/>
      <w:sz w:val="48"/>
      <w:szCs w:val="56"/>
    </w:rPr>
  </w:style>
  <w:style w:type="paragraph" w:customStyle="1" w:styleId="Footerlocation">
    <w:name w:val="Footer location"/>
    <w:unhideWhenUsed/>
    <w:rsid w:val="000E78EF"/>
    <w:pPr>
      <w:framePr w:w="9639" w:vSpace="567" w:wrap="around" w:hAnchor="margin" w:yAlign="bottom" w:anchorLock="1"/>
      <w:spacing w:after="0" w:line="240" w:lineRule="auto"/>
    </w:pPr>
    <w:rPr>
      <w:rFonts w:eastAsiaTheme="minorHAnsi"/>
      <w:b/>
      <w:color w:val="094183" w:themeColor="text2"/>
      <w:sz w:val="18"/>
      <w:lang w:eastAsia="en-US"/>
    </w:rPr>
  </w:style>
  <w:style w:type="character" w:customStyle="1" w:styleId="Subtitle-DividerChar">
    <w:name w:val="Subtitle - Divider Char"/>
    <w:basedOn w:val="SubtitleChar"/>
    <w:link w:val="Subtitle-Divider"/>
    <w:rsid w:val="00F962A9"/>
    <w:rPr>
      <w:rFonts w:eastAsiaTheme="majorEastAsia" w:cstheme="majorBidi"/>
      <w:color w:val="000000" w:themeColor="text1"/>
      <w:kern w:val="28"/>
      <w:sz w:val="32"/>
      <w:szCs w:val="56"/>
      <w:lang w:eastAsia="en-US"/>
    </w:rPr>
  </w:style>
  <w:style w:type="table" w:customStyle="1" w:styleId="Blank">
    <w:name w:val="Blank"/>
    <w:basedOn w:val="TableNormal"/>
    <w:uiPriority w:val="99"/>
    <w:rsid w:val="009D200D"/>
    <w:pPr>
      <w:spacing w:after="0" w:line="240" w:lineRule="auto"/>
    </w:pPr>
    <w:rPr>
      <w:rFonts w:eastAsiaTheme="minorHAnsi"/>
      <w:lang w:eastAsia="en-US"/>
    </w:rPr>
    <w:tblPr>
      <w:tblCellMar>
        <w:top w:w="57" w:type="dxa"/>
        <w:left w:w="0" w:type="dxa"/>
        <w:right w:w="113" w:type="dxa"/>
      </w:tblCellMar>
    </w:tblPr>
  </w:style>
  <w:style w:type="paragraph" w:customStyle="1" w:styleId="EndPageGraphic">
    <w:name w:val="End Page Graphic"/>
    <w:basedOn w:val="Normal"/>
    <w:link w:val="EndPageGraphicChar"/>
    <w:rsid w:val="000E78EF"/>
    <w:pPr>
      <w:framePr w:wrap="notBeside" w:vAnchor="page" w:hAnchor="page" w:y="1" w:anchorLock="1"/>
    </w:pPr>
  </w:style>
  <w:style w:type="character" w:customStyle="1" w:styleId="EndPageGraphicChar">
    <w:name w:val="End Page Graphic Char"/>
    <w:basedOn w:val="DefaultParagraphFont"/>
    <w:link w:val="EndPageGraphic"/>
    <w:rsid w:val="000E78EF"/>
    <w:rPr>
      <w:sz w:val="20"/>
    </w:rPr>
  </w:style>
  <w:style w:type="character" w:styleId="Strong">
    <w:name w:val="Strong"/>
    <w:basedOn w:val="DefaultParagraphFont"/>
    <w:uiPriority w:val="22"/>
    <w:rsid w:val="005B2E59"/>
    <w:rPr>
      <w:b/>
      <w:bCs/>
    </w:rPr>
  </w:style>
  <w:style w:type="paragraph" w:customStyle="1" w:styleId="Topleft">
    <w:name w:val="Top left"/>
    <w:basedOn w:val="Logo"/>
    <w:rsid w:val="007D029B"/>
    <w:pPr>
      <w:framePr w:w="11907" w:wrap="around" w:vAnchor="page" w:hAnchor="page" w:yAlign="top" w:anchorLock="1"/>
    </w:pPr>
    <w:rPr>
      <w:noProof/>
    </w:rPr>
  </w:style>
  <w:style w:type="paragraph" w:customStyle="1" w:styleId="Footerright">
    <w:name w:val="Footer right"/>
    <w:basedOn w:val="Normal"/>
    <w:rsid w:val="00A02E4C"/>
    <w:pPr>
      <w:framePr w:w="1701" w:h="1043" w:hRule="exact" w:wrap="around" w:vAnchor="page" w:hAnchor="margin" w:xAlign="right" w:yAlign="bottom" w:anchorLock="1"/>
      <w:tabs>
        <w:tab w:val="center" w:pos="4513"/>
        <w:tab w:val="right" w:pos="9026"/>
      </w:tabs>
      <w:spacing w:after="0" w:line="240" w:lineRule="auto"/>
      <w:jc w:val="right"/>
    </w:pPr>
    <w:rPr>
      <w:color w:val="094183" w:themeColor="text2"/>
    </w:rPr>
  </w:style>
  <w:style w:type="paragraph" w:customStyle="1" w:styleId="Topleft-backpage">
    <w:name w:val="Top left - back page"/>
    <w:basedOn w:val="Topleft"/>
    <w:rsid w:val="00074A6B"/>
    <w:pPr>
      <w:pageBreakBefore/>
      <w:framePr w:wrap="around"/>
    </w:pPr>
  </w:style>
  <w:style w:type="paragraph" w:customStyle="1" w:styleId="IdentifierDash">
    <w:name w:val="Identifier Dash"/>
    <w:basedOn w:val="Identifier"/>
    <w:rsid w:val="00C92357"/>
    <w:pPr>
      <w:spacing w:before="600" w:after="0" w:line="168" w:lineRule="auto"/>
    </w:pPr>
    <w:rPr>
      <w:sz w:val="40"/>
      <w:szCs w:val="40"/>
    </w:rPr>
  </w:style>
  <w:style w:type="paragraph" w:customStyle="1" w:styleId="IdentifierDash-White">
    <w:name w:val="Identifier Dash-White"/>
    <w:basedOn w:val="IdentifierDash"/>
    <w:qFormat/>
    <w:rsid w:val="0018540E"/>
    <w:pPr>
      <w:spacing w:before="200"/>
    </w:pPr>
    <w:rPr>
      <w:color w:val="FFFFFF" w:themeColor="background1"/>
    </w:rPr>
  </w:style>
  <w:style w:type="paragraph" w:customStyle="1" w:styleId="IdentifierDash-Blue">
    <w:name w:val="Identifier Dash-Blue"/>
    <w:basedOn w:val="IdentifierDash-White"/>
    <w:qFormat/>
    <w:rsid w:val="00FF27CC"/>
    <w:rPr>
      <w:color w:val="094183" w:themeColor="text2"/>
    </w:rPr>
  </w:style>
  <w:style w:type="paragraph" w:styleId="TableofFigures">
    <w:name w:val="table of figures"/>
    <w:basedOn w:val="TOC2"/>
    <w:next w:val="Normal"/>
    <w:uiPriority w:val="99"/>
    <w:unhideWhenUsed/>
    <w:rsid w:val="00EB381E"/>
    <w:rPr>
      <w:noProof/>
    </w:rPr>
  </w:style>
  <w:style w:type="paragraph" w:styleId="Bibliography">
    <w:name w:val="Bibliography"/>
    <w:basedOn w:val="Normal"/>
    <w:next w:val="Normal"/>
    <w:uiPriority w:val="37"/>
    <w:semiHidden/>
    <w:unhideWhenUsed/>
    <w:rsid w:val="00BD1825"/>
  </w:style>
  <w:style w:type="paragraph" w:styleId="CommentText">
    <w:name w:val="annotation text"/>
    <w:basedOn w:val="Normal"/>
    <w:link w:val="CommentTextChar"/>
    <w:uiPriority w:val="99"/>
    <w:unhideWhenUsed/>
    <w:pPr>
      <w:spacing w:line="240" w:lineRule="auto"/>
    </w:pPr>
    <w:rPr>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unhideWhenUsed/>
    <w:rPr>
      <w:sz w:val="16"/>
      <w:szCs w:val="16"/>
    </w:rPr>
  </w:style>
  <w:style w:type="paragraph" w:customStyle="1" w:styleId="MajorHeading">
    <w:name w:val="Major Heading"/>
    <w:basedOn w:val="Normal"/>
    <w:uiPriority w:val="99"/>
    <w:rsid w:val="000F73EA"/>
    <w:pPr>
      <w:autoSpaceDE w:val="0"/>
      <w:autoSpaceDN w:val="0"/>
      <w:adjustRightInd w:val="0"/>
      <w:spacing w:after="340" w:line="560" w:lineRule="atLeast"/>
      <w:textAlignment w:val="center"/>
    </w:pPr>
    <w:rPr>
      <w:rFonts w:ascii="Source Sans Pro" w:hAnsi="Source Sans Pro" w:cs="Source Sans Pro"/>
      <w:b/>
      <w:bCs/>
      <w:color w:val="4680C2"/>
      <w:spacing w:val="5"/>
      <w:sz w:val="50"/>
      <w:szCs w:val="50"/>
      <w:lang w:val="en-US"/>
    </w:rPr>
  </w:style>
  <w:style w:type="paragraph" w:customStyle="1" w:styleId="BasicParagraph">
    <w:name w:val="[Basic Paragraph]"/>
    <w:basedOn w:val="Normal"/>
    <w:uiPriority w:val="99"/>
    <w:rsid w:val="001C3592"/>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customStyle="1" w:styleId="UnresolvedMention1">
    <w:name w:val="Unresolved Mention1"/>
    <w:basedOn w:val="DefaultParagraphFont"/>
    <w:uiPriority w:val="99"/>
    <w:semiHidden/>
    <w:unhideWhenUsed/>
    <w:rsid w:val="00666981"/>
    <w:rPr>
      <w:color w:val="605E5C"/>
      <w:shd w:val="clear" w:color="auto" w:fill="E1DFDD"/>
    </w:rPr>
  </w:style>
  <w:style w:type="paragraph" w:customStyle="1" w:styleId="paragraph">
    <w:name w:val="paragraph"/>
    <w:basedOn w:val="Normal"/>
    <w:rsid w:val="003D584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D5848"/>
  </w:style>
  <w:style w:type="character" w:customStyle="1" w:styleId="eop">
    <w:name w:val="eop"/>
    <w:basedOn w:val="DefaultParagraphFont"/>
    <w:rsid w:val="003D5848"/>
  </w:style>
  <w:style w:type="paragraph" w:customStyle="1" w:styleId="PlainParagraph">
    <w:name w:val="Plain Paragraph"/>
    <w:aliases w:val="PP"/>
    <w:basedOn w:val="Normal"/>
    <w:link w:val="PlainParagraphChar"/>
    <w:uiPriority w:val="4"/>
    <w:qFormat/>
    <w:rsid w:val="00A85CAA"/>
    <w:pPr>
      <w:spacing w:before="140" w:after="140" w:line="280" w:lineRule="atLeast"/>
      <w:ind w:left="1134"/>
    </w:pPr>
    <w:rPr>
      <w:rFonts w:ascii="Arial" w:eastAsia="Times New Roman" w:hAnsi="Arial" w:cs="Arial"/>
      <w:sz w:val="22"/>
      <w:lang w:eastAsia="en-AU"/>
    </w:rPr>
  </w:style>
  <w:style w:type="character" w:customStyle="1" w:styleId="PlainParagraphChar">
    <w:name w:val="Plain Paragraph Char"/>
    <w:aliases w:val="PP Char"/>
    <w:basedOn w:val="DefaultParagraphFont"/>
    <w:link w:val="PlainParagraph"/>
    <w:uiPriority w:val="4"/>
    <w:rsid w:val="00A85CAA"/>
    <w:rPr>
      <w:rFonts w:ascii="Arial" w:eastAsia="Times New Roman" w:hAnsi="Arial" w:cs="Arial"/>
      <w:lang w:eastAsia="en-AU"/>
    </w:rPr>
  </w:style>
  <w:style w:type="character" w:styleId="PageNumber">
    <w:name w:val="page number"/>
    <w:basedOn w:val="DefaultParagraphFont"/>
    <w:uiPriority w:val="99"/>
    <w:semiHidden/>
    <w:unhideWhenUsed/>
    <w:rsid w:val="005C4F22"/>
  </w:style>
  <w:style w:type="paragraph" w:styleId="Revision">
    <w:name w:val="Revision"/>
    <w:hidden/>
    <w:uiPriority w:val="99"/>
    <w:semiHidden/>
    <w:rsid w:val="00951239"/>
    <w:pPr>
      <w:spacing w:after="0" w:line="240" w:lineRule="auto"/>
    </w:pPr>
    <w:rPr>
      <w:sz w:val="20"/>
    </w:rPr>
  </w:style>
  <w:style w:type="paragraph" w:styleId="CommentSubject">
    <w:name w:val="annotation subject"/>
    <w:basedOn w:val="CommentText"/>
    <w:next w:val="CommentText"/>
    <w:link w:val="CommentSubjectChar"/>
    <w:uiPriority w:val="99"/>
    <w:semiHidden/>
    <w:unhideWhenUsed/>
    <w:rsid w:val="0009359D"/>
    <w:rPr>
      <w:b/>
      <w:bCs/>
    </w:rPr>
  </w:style>
  <w:style w:type="character" w:customStyle="1" w:styleId="CommentSubjectChar">
    <w:name w:val="Comment Subject Char"/>
    <w:basedOn w:val="CommentTextChar"/>
    <w:link w:val="CommentSubject"/>
    <w:uiPriority w:val="99"/>
    <w:semiHidden/>
    <w:rsid w:val="0009359D"/>
    <w:rPr>
      <w:b/>
      <w:bCs/>
      <w:sz w:val="20"/>
      <w:szCs w:val="20"/>
    </w:rPr>
  </w:style>
  <w:style w:type="paragraph" w:styleId="BalloonText">
    <w:name w:val="Balloon Text"/>
    <w:basedOn w:val="Normal"/>
    <w:link w:val="BalloonTextChar"/>
    <w:uiPriority w:val="99"/>
    <w:semiHidden/>
    <w:unhideWhenUsed/>
    <w:rsid w:val="008D70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70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3.xml"/><Relationship Id="rId18" Type="http://schemas.openxmlformats.org/officeDocument/2006/relationships/header" Target="header3.xml"/><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4.xml"/><Relationship Id="rId10" Type="http://schemas.openxmlformats.org/officeDocument/2006/relationships/image" Target="media/image10.emf"/><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1.emf"/><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5CA44B882583941BAC1435015F4704D"/>
        <w:category>
          <w:name w:val="General"/>
          <w:gallery w:val="placeholder"/>
        </w:category>
        <w:types>
          <w:type w:val="bbPlcHdr"/>
        </w:types>
        <w:behaviors>
          <w:behavior w:val="content"/>
        </w:behaviors>
        <w:guid w:val="{2ADA49B7-4FFD-7344-8C16-AAC280D4A2DE}"/>
      </w:docPartPr>
      <w:docPartBody>
        <w:p w:rsidR="00E36072" w:rsidRDefault="00CC44D9">
          <w:pPr>
            <w:pStyle w:val="25CA44B882583941BAC1435015F4704D"/>
          </w:pPr>
          <w:r w:rsidRPr="009C54C1">
            <w:rPr>
              <w:highlight w:val="lightGray"/>
            </w:rPr>
            <w:t>[Divider Title]</w:t>
          </w:r>
        </w:p>
      </w:docPartBody>
    </w:docPart>
    <w:docPart>
      <w:docPartPr>
        <w:name w:val="071BFAA0304AC54988C02990DBB1D5AE"/>
        <w:category>
          <w:name w:val="General"/>
          <w:gallery w:val="placeholder"/>
        </w:category>
        <w:types>
          <w:type w:val="bbPlcHdr"/>
        </w:types>
        <w:behaviors>
          <w:behavior w:val="content"/>
        </w:behaviors>
        <w:guid w:val="{E24A375D-69FE-EE40-AC18-52118777BEDE}"/>
      </w:docPartPr>
      <w:docPartBody>
        <w:p w:rsidR="003F2650" w:rsidRDefault="000C4137" w:rsidP="000C4137">
          <w:pPr>
            <w:pStyle w:val="071BFAA0304AC54988C02990DBB1D5AE"/>
          </w:pPr>
          <w:r w:rsidRPr="007D029B">
            <w:rPr>
              <w:highlight w:val="lightGray"/>
            </w:rPr>
            <w:t>[Click to insert contact details]</w:t>
          </w:r>
        </w:p>
      </w:docPartBody>
    </w:docPart>
    <w:docPart>
      <w:docPartPr>
        <w:name w:val="925DCFE9CF0FEB429B87E96D89D752D1"/>
        <w:category>
          <w:name w:val="General"/>
          <w:gallery w:val="placeholder"/>
        </w:category>
        <w:types>
          <w:type w:val="bbPlcHdr"/>
        </w:types>
        <w:behaviors>
          <w:behavior w:val="content"/>
        </w:behaviors>
        <w:guid w:val="{AF4A4178-A5B7-014B-B9B7-1D9E019F72A1}"/>
      </w:docPartPr>
      <w:docPartBody>
        <w:p w:rsidR="003F2650" w:rsidRDefault="000C4137" w:rsidP="000C4137">
          <w:pPr>
            <w:pStyle w:val="925DCFE9CF0FEB429B87E96D89D752D1"/>
          </w:pPr>
          <w:r w:rsidRPr="007D029B">
            <w:rPr>
              <w:highlight w:val="lightGray"/>
            </w:rPr>
            <w:t>[Click to insert contact details]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ubik Medium">
    <w:altName w:val="Rubik Medium"/>
    <w:panose1 w:val="00000000000000000000"/>
    <w:charset w:val="B1"/>
    <w:family w:val="auto"/>
    <w:pitch w:val="variable"/>
    <w:sig w:usb0="A0000A6F" w:usb1="4000205B" w:usb2="00000000" w:usb3="00000000" w:csb0="000000B7" w:csb1="00000000"/>
  </w:font>
  <w:font w:name="SimHei">
    <w:altName w:val="黑体"/>
    <w:panose1 w:val="02010609060101010101"/>
    <w:charset w:val="86"/>
    <w:family w:val="modern"/>
    <w:pitch w:val="fixed"/>
    <w:sig w:usb0="800002BF" w:usb1="38CF7CFA" w:usb2="00000016" w:usb3="00000000" w:csb0="00040001" w:csb1="00000000"/>
  </w:font>
  <w:font w:name="Times New Roman Bold">
    <w:altName w:val="Times New Roman"/>
    <w:panose1 w:val="020B0604020202020204"/>
    <w:charset w:val="00"/>
    <w:family w:val="auto"/>
    <w:pitch w:val="variable"/>
    <w:sig w:usb0="E0002AFF" w:usb1="C0007841"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Source Sans Pro">
    <w:altName w:val="Source Sans Pro"/>
    <w:panose1 w:val="020B0503030403020204"/>
    <w:charset w:val="4D"/>
    <w:family w:val="swiss"/>
    <w:notTrueType/>
    <w:pitch w:val="variable"/>
    <w:sig w:usb0="20000007" w:usb1="00000001" w:usb2="00000000" w:usb3="00000000" w:csb0="00000193" w:csb1="00000000"/>
  </w:font>
  <w:font w:name="MinionPro-Regular">
    <w:altName w:val="Calibri"/>
    <w:panose1 w:val="020B0604020202020204"/>
    <w:charset w:val="4D"/>
    <w:family w:val="auto"/>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Rubik">
    <w:altName w:val="Rubik"/>
    <w:panose1 w:val="00000000000000000000"/>
    <w:charset w:val="B1"/>
    <w:family w:val="auto"/>
    <w:pitch w:val="variable"/>
    <w:sig w:usb0="A0000A6F" w:usb1="4000205B" w:usb2="00000000" w:usb3="00000000" w:csb0="000000B7"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Rubik Light">
    <w:altName w:val="Rubik Light"/>
    <w:panose1 w:val="00000000000000000000"/>
    <w:charset w:val="B1"/>
    <w:family w:val="auto"/>
    <w:pitch w:val="variable"/>
    <w:sig w:usb0="A0000A6F" w:usb1="4000205B" w:usb2="00000000" w:usb3="00000000" w:csb0="000000B7" w:csb1="00000000"/>
  </w:font>
  <w:font w:name="RubikRoman-Light">
    <w:altName w:val="Arial"/>
    <w:panose1 w:val="00000000000000000000"/>
    <w:charset w:val="B1"/>
    <w:family w:val="auto"/>
    <w:pitch w:val="variable"/>
    <w:sig w:usb0="A0000A6F" w:usb1="4000205B" w:usb2="00000000" w:usb3="00000000" w:csb0="000000B7"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44D9"/>
    <w:rsid w:val="000A0A9A"/>
    <w:rsid w:val="000C4137"/>
    <w:rsid w:val="00153FE7"/>
    <w:rsid w:val="001D6167"/>
    <w:rsid w:val="002A04D6"/>
    <w:rsid w:val="002C6993"/>
    <w:rsid w:val="003F2650"/>
    <w:rsid w:val="00656675"/>
    <w:rsid w:val="00681EA9"/>
    <w:rsid w:val="006D508C"/>
    <w:rsid w:val="00843FC9"/>
    <w:rsid w:val="008C606C"/>
    <w:rsid w:val="00954216"/>
    <w:rsid w:val="00BA4BFB"/>
    <w:rsid w:val="00CC44D9"/>
    <w:rsid w:val="00CC68EA"/>
    <w:rsid w:val="00D8341B"/>
    <w:rsid w:val="00E170CB"/>
    <w:rsid w:val="00E36072"/>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unhideWhenUsed/>
    <w:pPr>
      <w:framePr w:w="6804" w:hSpace="2835" w:wrap="around" w:vAnchor="page" w:hAnchor="margin" w:y="5104" w:anchorLock="1"/>
      <w:spacing w:after="120" w:line="264" w:lineRule="auto"/>
    </w:pPr>
    <w:rPr>
      <w:sz w:val="20"/>
      <w:szCs w:val="22"/>
      <w:lang w:eastAsia="zh-CN"/>
    </w:rPr>
  </w:style>
  <w:style w:type="character" w:customStyle="1" w:styleId="DateChar">
    <w:name w:val="Date Char"/>
    <w:basedOn w:val="DefaultParagraphFont"/>
    <w:link w:val="Date"/>
    <w:uiPriority w:val="99"/>
    <w:rPr>
      <w:sz w:val="20"/>
      <w:szCs w:val="22"/>
      <w:lang w:eastAsia="zh-CN"/>
    </w:rPr>
  </w:style>
  <w:style w:type="paragraph" w:customStyle="1" w:styleId="25CA44B882583941BAC1435015F4704D">
    <w:name w:val="25CA44B882583941BAC1435015F4704D"/>
  </w:style>
  <w:style w:type="character" w:styleId="PlaceholderText">
    <w:name w:val="Placeholder Text"/>
    <w:basedOn w:val="DefaultParagraphFont"/>
    <w:uiPriority w:val="99"/>
    <w:semiHidden/>
    <w:rPr>
      <w:color w:val="808080"/>
    </w:rPr>
  </w:style>
  <w:style w:type="paragraph" w:customStyle="1" w:styleId="071BFAA0304AC54988C02990DBB1D5AE">
    <w:name w:val="071BFAA0304AC54988C02990DBB1D5AE"/>
    <w:rsid w:val="000C4137"/>
    <w:rPr>
      <w:lang w:eastAsia="zh-CN"/>
    </w:rPr>
  </w:style>
  <w:style w:type="paragraph" w:customStyle="1" w:styleId="925DCFE9CF0FEB429B87E96D89D752D1">
    <w:name w:val="925DCFE9CF0FEB429B87E96D89D752D1"/>
    <w:rsid w:val="000C4137"/>
    <w:rPr>
      <w:lang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University of Melbourne">
      <a:dk1>
        <a:sysClr val="windowText" lastClr="000000"/>
      </a:dk1>
      <a:lt1>
        <a:sysClr val="window" lastClr="FFFFFF"/>
      </a:lt1>
      <a:dk2>
        <a:srgbClr val="094183"/>
      </a:dk2>
      <a:lt2>
        <a:srgbClr val="FFFFFF"/>
      </a:lt2>
      <a:accent1>
        <a:srgbClr val="094183"/>
      </a:accent1>
      <a:accent2>
        <a:srgbClr val="4597AD"/>
      </a:accent2>
      <a:accent3>
        <a:srgbClr val="6DAF7F"/>
      </a:accent3>
      <a:accent4>
        <a:srgbClr val="5D7FBE"/>
      </a:accent4>
      <a:accent5>
        <a:srgbClr val="DDAD6A"/>
      </a:accent5>
      <a:accent6>
        <a:srgbClr val="D1694C"/>
      </a:accent6>
      <a:hlink>
        <a:srgbClr val="000000"/>
      </a:hlink>
      <a:folHlink>
        <a:srgbClr val="000000"/>
      </a:folHlink>
    </a:clrScheme>
    <a:fontScheme name="University of Melbourne">
      <a:majorFont>
        <a:latin typeface="Georgi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B49FAF-B460-4665-A959-7814B7E9F5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74</Pages>
  <Words>104823</Words>
  <Characters>597493</Characters>
  <Application>Microsoft Office Word</Application>
  <DocSecurity>4</DocSecurity>
  <Lines>4979</Lines>
  <Paragraphs>1401</Paragraphs>
  <ScaleCrop>false</ScaleCrop>
  <HeadingPairs>
    <vt:vector size="2" baseType="variant">
      <vt:variant>
        <vt:lpstr>Title</vt:lpstr>
      </vt:variant>
      <vt:variant>
        <vt:i4>1</vt:i4>
      </vt:variant>
    </vt:vector>
  </HeadingPairs>
  <TitlesOfParts>
    <vt:vector size="1" baseType="lpstr">
      <vt:lpstr>Systematic Review Technical Report – Supplementary Files</vt:lpstr>
    </vt:vector>
  </TitlesOfParts>
  <Manager/>
  <Company/>
  <LinksUpToDate>false</LinksUpToDate>
  <CharactersWithSpaces>700915</CharactersWithSpaces>
  <SharedDoc>false</SharedDoc>
  <HyperlinkBase/>
  <HLinks>
    <vt:vector size="126" baseType="variant">
      <vt:variant>
        <vt:i4>1966134</vt:i4>
      </vt:variant>
      <vt:variant>
        <vt:i4>122</vt:i4>
      </vt:variant>
      <vt:variant>
        <vt:i4>0</vt:i4>
      </vt:variant>
      <vt:variant>
        <vt:i4>5</vt:i4>
      </vt:variant>
      <vt:variant>
        <vt:lpwstr/>
      </vt:variant>
      <vt:variant>
        <vt:lpwstr>_Toc66716618</vt:lpwstr>
      </vt:variant>
      <vt:variant>
        <vt:i4>1048630</vt:i4>
      </vt:variant>
      <vt:variant>
        <vt:i4>116</vt:i4>
      </vt:variant>
      <vt:variant>
        <vt:i4>0</vt:i4>
      </vt:variant>
      <vt:variant>
        <vt:i4>5</vt:i4>
      </vt:variant>
      <vt:variant>
        <vt:lpwstr/>
      </vt:variant>
      <vt:variant>
        <vt:lpwstr>_Toc66716616</vt:lpwstr>
      </vt:variant>
      <vt:variant>
        <vt:i4>1245238</vt:i4>
      </vt:variant>
      <vt:variant>
        <vt:i4>110</vt:i4>
      </vt:variant>
      <vt:variant>
        <vt:i4>0</vt:i4>
      </vt:variant>
      <vt:variant>
        <vt:i4>5</vt:i4>
      </vt:variant>
      <vt:variant>
        <vt:lpwstr/>
      </vt:variant>
      <vt:variant>
        <vt:lpwstr>_Toc66716615</vt:lpwstr>
      </vt:variant>
      <vt:variant>
        <vt:i4>1179702</vt:i4>
      </vt:variant>
      <vt:variant>
        <vt:i4>104</vt:i4>
      </vt:variant>
      <vt:variant>
        <vt:i4>0</vt:i4>
      </vt:variant>
      <vt:variant>
        <vt:i4>5</vt:i4>
      </vt:variant>
      <vt:variant>
        <vt:lpwstr/>
      </vt:variant>
      <vt:variant>
        <vt:lpwstr>_Toc66716614</vt:lpwstr>
      </vt:variant>
      <vt:variant>
        <vt:i4>1376310</vt:i4>
      </vt:variant>
      <vt:variant>
        <vt:i4>98</vt:i4>
      </vt:variant>
      <vt:variant>
        <vt:i4>0</vt:i4>
      </vt:variant>
      <vt:variant>
        <vt:i4>5</vt:i4>
      </vt:variant>
      <vt:variant>
        <vt:lpwstr/>
      </vt:variant>
      <vt:variant>
        <vt:lpwstr>_Toc66716613</vt:lpwstr>
      </vt:variant>
      <vt:variant>
        <vt:i4>1310774</vt:i4>
      </vt:variant>
      <vt:variant>
        <vt:i4>92</vt:i4>
      </vt:variant>
      <vt:variant>
        <vt:i4>0</vt:i4>
      </vt:variant>
      <vt:variant>
        <vt:i4>5</vt:i4>
      </vt:variant>
      <vt:variant>
        <vt:lpwstr/>
      </vt:variant>
      <vt:variant>
        <vt:lpwstr>_Toc66716612</vt:lpwstr>
      </vt:variant>
      <vt:variant>
        <vt:i4>1507382</vt:i4>
      </vt:variant>
      <vt:variant>
        <vt:i4>86</vt:i4>
      </vt:variant>
      <vt:variant>
        <vt:i4>0</vt:i4>
      </vt:variant>
      <vt:variant>
        <vt:i4>5</vt:i4>
      </vt:variant>
      <vt:variant>
        <vt:lpwstr/>
      </vt:variant>
      <vt:variant>
        <vt:lpwstr>_Toc66716611</vt:lpwstr>
      </vt:variant>
      <vt:variant>
        <vt:i4>1441846</vt:i4>
      </vt:variant>
      <vt:variant>
        <vt:i4>80</vt:i4>
      </vt:variant>
      <vt:variant>
        <vt:i4>0</vt:i4>
      </vt:variant>
      <vt:variant>
        <vt:i4>5</vt:i4>
      </vt:variant>
      <vt:variant>
        <vt:lpwstr/>
      </vt:variant>
      <vt:variant>
        <vt:lpwstr>_Toc66716610</vt:lpwstr>
      </vt:variant>
      <vt:variant>
        <vt:i4>2031671</vt:i4>
      </vt:variant>
      <vt:variant>
        <vt:i4>74</vt:i4>
      </vt:variant>
      <vt:variant>
        <vt:i4>0</vt:i4>
      </vt:variant>
      <vt:variant>
        <vt:i4>5</vt:i4>
      </vt:variant>
      <vt:variant>
        <vt:lpwstr/>
      </vt:variant>
      <vt:variant>
        <vt:lpwstr>_Toc66716609</vt:lpwstr>
      </vt:variant>
      <vt:variant>
        <vt:i4>1966135</vt:i4>
      </vt:variant>
      <vt:variant>
        <vt:i4>68</vt:i4>
      </vt:variant>
      <vt:variant>
        <vt:i4>0</vt:i4>
      </vt:variant>
      <vt:variant>
        <vt:i4>5</vt:i4>
      </vt:variant>
      <vt:variant>
        <vt:lpwstr/>
      </vt:variant>
      <vt:variant>
        <vt:lpwstr>_Toc66716608</vt:lpwstr>
      </vt:variant>
      <vt:variant>
        <vt:i4>1114167</vt:i4>
      </vt:variant>
      <vt:variant>
        <vt:i4>62</vt:i4>
      </vt:variant>
      <vt:variant>
        <vt:i4>0</vt:i4>
      </vt:variant>
      <vt:variant>
        <vt:i4>5</vt:i4>
      </vt:variant>
      <vt:variant>
        <vt:lpwstr/>
      </vt:variant>
      <vt:variant>
        <vt:lpwstr>_Toc66716607</vt:lpwstr>
      </vt:variant>
      <vt:variant>
        <vt:i4>1048631</vt:i4>
      </vt:variant>
      <vt:variant>
        <vt:i4>56</vt:i4>
      </vt:variant>
      <vt:variant>
        <vt:i4>0</vt:i4>
      </vt:variant>
      <vt:variant>
        <vt:i4>5</vt:i4>
      </vt:variant>
      <vt:variant>
        <vt:lpwstr/>
      </vt:variant>
      <vt:variant>
        <vt:lpwstr>_Toc66716606</vt:lpwstr>
      </vt:variant>
      <vt:variant>
        <vt:i4>1245239</vt:i4>
      </vt:variant>
      <vt:variant>
        <vt:i4>50</vt:i4>
      </vt:variant>
      <vt:variant>
        <vt:i4>0</vt:i4>
      </vt:variant>
      <vt:variant>
        <vt:i4>5</vt:i4>
      </vt:variant>
      <vt:variant>
        <vt:lpwstr/>
      </vt:variant>
      <vt:variant>
        <vt:lpwstr>_Toc66716605</vt:lpwstr>
      </vt:variant>
      <vt:variant>
        <vt:i4>1179703</vt:i4>
      </vt:variant>
      <vt:variant>
        <vt:i4>44</vt:i4>
      </vt:variant>
      <vt:variant>
        <vt:i4>0</vt:i4>
      </vt:variant>
      <vt:variant>
        <vt:i4>5</vt:i4>
      </vt:variant>
      <vt:variant>
        <vt:lpwstr/>
      </vt:variant>
      <vt:variant>
        <vt:lpwstr>_Toc66716604</vt:lpwstr>
      </vt:variant>
      <vt:variant>
        <vt:i4>1376311</vt:i4>
      </vt:variant>
      <vt:variant>
        <vt:i4>38</vt:i4>
      </vt:variant>
      <vt:variant>
        <vt:i4>0</vt:i4>
      </vt:variant>
      <vt:variant>
        <vt:i4>5</vt:i4>
      </vt:variant>
      <vt:variant>
        <vt:lpwstr/>
      </vt:variant>
      <vt:variant>
        <vt:lpwstr>_Toc66716603</vt:lpwstr>
      </vt:variant>
      <vt:variant>
        <vt:i4>1310775</vt:i4>
      </vt:variant>
      <vt:variant>
        <vt:i4>32</vt:i4>
      </vt:variant>
      <vt:variant>
        <vt:i4>0</vt:i4>
      </vt:variant>
      <vt:variant>
        <vt:i4>5</vt:i4>
      </vt:variant>
      <vt:variant>
        <vt:lpwstr/>
      </vt:variant>
      <vt:variant>
        <vt:lpwstr>_Toc66716602</vt:lpwstr>
      </vt:variant>
      <vt:variant>
        <vt:i4>1507383</vt:i4>
      </vt:variant>
      <vt:variant>
        <vt:i4>26</vt:i4>
      </vt:variant>
      <vt:variant>
        <vt:i4>0</vt:i4>
      </vt:variant>
      <vt:variant>
        <vt:i4>5</vt:i4>
      </vt:variant>
      <vt:variant>
        <vt:lpwstr/>
      </vt:variant>
      <vt:variant>
        <vt:lpwstr>_Toc66716601</vt:lpwstr>
      </vt:variant>
      <vt:variant>
        <vt:i4>1441847</vt:i4>
      </vt:variant>
      <vt:variant>
        <vt:i4>20</vt:i4>
      </vt:variant>
      <vt:variant>
        <vt:i4>0</vt:i4>
      </vt:variant>
      <vt:variant>
        <vt:i4>5</vt:i4>
      </vt:variant>
      <vt:variant>
        <vt:lpwstr/>
      </vt:variant>
      <vt:variant>
        <vt:lpwstr>_Toc66716600</vt:lpwstr>
      </vt:variant>
      <vt:variant>
        <vt:i4>1835070</vt:i4>
      </vt:variant>
      <vt:variant>
        <vt:i4>14</vt:i4>
      </vt:variant>
      <vt:variant>
        <vt:i4>0</vt:i4>
      </vt:variant>
      <vt:variant>
        <vt:i4>5</vt:i4>
      </vt:variant>
      <vt:variant>
        <vt:lpwstr/>
      </vt:variant>
      <vt:variant>
        <vt:lpwstr>_Toc66716599</vt:lpwstr>
      </vt:variant>
      <vt:variant>
        <vt:i4>1900606</vt:i4>
      </vt:variant>
      <vt:variant>
        <vt:i4>8</vt:i4>
      </vt:variant>
      <vt:variant>
        <vt:i4>0</vt:i4>
      </vt:variant>
      <vt:variant>
        <vt:i4>5</vt:i4>
      </vt:variant>
      <vt:variant>
        <vt:lpwstr/>
      </vt:variant>
      <vt:variant>
        <vt:lpwstr>_Toc66716598</vt:lpwstr>
      </vt:variant>
      <vt:variant>
        <vt:i4>1179710</vt:i4>
      </vt:variant>
      <vt:variant>
        <vt:i4>2</vt:i4>
      </vt:variant>
      <vt:variant>
        <vt:i4>0</vt:i4>
      </vt:variant>
      <vt:variant>
        <vt:i4>5</vt:i4>
      </vt:variant>
      <vt:variant>
        <vt:lpwstr/>
      </vt:variant>
      <vt:variant>
        <vt:lpwstr>_Toc66716597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Systematic Review Technical Report – Supplementary Files</dc:title>
  <dc:subject/>
  <dc:creator>Claudia Marck</dc:creator>
  <cp:keywords/>
  <dc:description/>
  <cp:lastModifiedBy>Mellissa Kavenagh</cp:lastModifiedBy>
  <cp:revision>2</cp:revision>
  <cp:lastPrinted>2021-03-22T02:15:00Z</cp:lastPrinted>
  <dcterms:created xsi:type="dcterms:W3CDTF">2021-08-09T07:54:00Z</dcterms:created>
  <dcterms:modified xsi:type="dcterms:W3CDTF">2021-08-09T07:54:00Z</dcterms:modified>
  <cp:category/>
</cp:coreProperties>
</file>