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BC1F" w14:textId="77777777" w:rsidR="003D2487" w:rsidRPr="003D2487" w:rsidRDefault="003D2487" w:rsidP="003D2487">
      <w:pPr>
        <w:pStyle w:val="Title"/>
        <w:rPr>
          <w:rFonts w:cstheme="majorHAnsi"/>
          <w:sz w:val="20"/>
          <w:szCs w:val="20"/>
        </w:rPr>
      </w:pPr>
      <w:r w:rsidRPr="003D2487">
        <w:rPr>
          <w:rFonts w:cstheme="majorHAnsi"/>
          <w:sz w:val="30"/>
          <w:szCs w:val="30"/>
        </w:rPr>
        <w:t xml:space="preserve">Indigenous Eye Health: </w:t>
      </w:r>
      <w:r w:rsidRPr="003D2487">
        <w:rPr>
          <w:rFonts w:cstheme="majorHAnsi"/>
          <w:color w:val="808080" w:themeColor="background1" w:themeShade="80"/>
          <w:sz w:val="30"/>
          <w:szCs w:val="30"/>
        </w:rPr>
        <w:t xml:space="preserve">[name of region] </w:t>
      </w:r>
      <w:r w:rsidRPr="003D2487">
        <w:rPr>
          <w:rFonts w:cstheme="majorHAnsi"/>
          <w:sz w:val="30"/>
          <w:szCs w:val="30"/>
        </w:rPr>
        <w:t>regional data collection template</w:t>
      </w:r>
    </w:p>
    <w:p w14:paraId="1702F353" w14:textId="06050BBE" w:rsidR="00052CE9" w:rsidRPr="00A45AF3" w:rsidRDefault="00FF7455">
      <w:pPr>
        <w:rPr>
          <w:rFonts w:asciiTheme="majorHAnsi" w:hAnsiTheme="majorHAnsi" w:cstheme="majorHAnsi"/>
          <w:sz w:val="22"/>
          <w:szCs w:val="22"/>
        </w:rPr>
      </w:pPr>
      <w:r w:rsidRPr="00A45AF3">
        <w:rPr>
          <w:rFonts w:asciiTheme="majorHAnsi" w:hAnsiTheme="majorHAnsi" w:cstheme="majorHAnsi"/>
          <w:sz w:val="22"/>
          <w:szCs w:val="22"/>
        </w:rPr>
        <w:t xml:space="preserve">Regional </w:t>
      </w:r>
      <w:r w:rsidR="0060742E" w:rsidRPr="00A45AF3">
        <w:rPr>
          <w:rFonts w:asciiTheme="majorHAnsi" w:hAnsiTheme="majorHAnsi" w:cstheme="majorHAnsi"/>
          <w:sz w:val="22"/>
          <w:szCs w:val="22"/>
        </w:rPr>
        <w:t xml:space="preserve">Population size </w:t>
      </w:r>
      <w:proofErr w:type="gramStart"/>
      <w:r w:rsidR="0060742E" w:rsidRPr="00A45AF3">
        <w:rPr>
          <w:rFonts w:asciiTheme="majorHAnsi" w:hAnsiTheme="majorHAnsi" w:cstheme="majorHAnsi"/>
          <w:sz w:val="22"/>
          <w:szCs w:val="22"/>
        </w:rPr>
        <w:t>–</w:t>
      </w:r>
      <w:r w:rsidR="00EC73F0" w:rsidRPr="00A45AF3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[</w:t>
      </w:r>
      <w:proofErr w:type="gramEnd"/>
      <w:r w:rsidR="00EC73F0" w:rsidRPr="00A45AF3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Indigenous population for the region, based on ABS or local data]</w:t>
      </w: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697"/>
        <w:gridCol w:w="4113"/>
        <w:gridCol w:w="2395"/>
        <w:gridCol w:w="2395"/>
        <w:gridCol w:w="2395"/>
        <w:gridCol w:w="2395"/>
      </w:tblGrid>
      <w:tr w:rsidR="00C30BAD" w:rsidRPr="00657FF0" w14:paraId="36D922D8" w14:textId="77777777" w:rsidTr="00C30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DBE5F1" w:themeFill="accent1" w:themeFillTint="33"/>
          </w:tcPr>
          <w:p w14:paraId="1D3EC4C9" w14:textId="578A90FB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Indicator</w:t>
            </w:r>
          </w:p>
        </w:tc>
        <w:tc>
          <w:tcPr>
            <w:tcW w:w="1336" w:type="pct"/>
            <w:shd w:val="clear" w:color="auto" w:fill="DBE5F1" w:themeFill="accent1" w:themeFillTint="33"/>
          </w:tcPr>
          <w:p w14:paraId="61FF05F3" w14:textId="1E75B4E8" w:rsidR="001D3AD0" w:rsidRPr="00A45AF3" w:rsidRDefault="001D3AD0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Description of Indicators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214E0812" w14:textId="77777777" w:rsidR="00A45AF3" w:rsidRDefault="00F3731A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D</w:t>
            </w:r>
            <w:r w:rsidR="001D3AD0"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ata source</w:t>
            </w:r>
          </w:p>
          <w:p w14:paraId="5F2378CE" w14:textId="00016C67" w:rsidR="001D3AD0" w:rsidRPr="00C30BAD" w:rsidRDefault="00F3731A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9"/>
                <w:szCs w:val="19"/>
              </w:rPr>
            </w:pPr>
            <w:r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[where data comes from]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1AA47053" w14:textId="77777777" w:rsidR="00A45AF3" w:rsidRDefault="0043485D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Actual</w:t>
            </w:r>
          </w:p>
          <w:p w14:paraId="52E2313A" w14:textId="2F412F9F" w:rsidR="001D3AD0" w:rsidRPr="00C30BAD" w:rsidRDefault="00854551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[time period</w:t>
            </w:r>
            <w:r w:rsidR="00B65BFB"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 xml:space="preserve"> e.g. </w:t>
            </w:r>
            <w:proofErr w:type="spellStart"/>
            <w:r w:rsidR="00B65BFB"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qtr</w:t>
            </w:r>
            <w:proofErr w:type="spellEnd"/>
            <w:r w:rsidR="00B65BFB"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/</w:t>
            </w:r>
            <w:r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year]</w:t>
            </w:r>
          </w:p>
        </w:tc>
        <w:tc>
          <w:tcPr>
            <w:tcW w:w="778" w:type="pct"/>
            <w:shd w:val="clear" w:color="auto" w:fill="DBE5F1" w:themeFill="accent1" w:themeFillTint="33"/>
          </w:tcPr>
          <w:p w14:paraId="6D06E38E" w14:textId="77777777" w:rsidR="00A45AF3" w:rsidRDefault="001D3AD0" w:rsidP="009D176C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Target</w:t>
            </w:r>
          </w:p>
          <w:p w14:paraId="64D1EB99" w14:textId="427E692C" w:rsidR="001D3AD0" w:rsidRPr="00A45AF3" w:rsidRDefault="00A45AF3" w:rsidP="009D176C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808080" w:themeColor="background1" w:themeShade="80"/>
                <w:sz w:val="15"/>
                <w:szCs w:val="15"/>
              </w:rPr>
            </w:pPr>
            <w:r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[</w:t>
            </w:r>
            <w:r w:rsidR="003D2487"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b</w:t>
            </w:r>
            <w:r w:rsidR="001D3AD0"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 xml:space="preserve">ased on </w:t>
            </w:r>
            <w:hyperlink r:id="rId8" w:history="1">
              <w:r w:rsidR="001D3AD0" w:rsidRPr="00C30BAD">
                <w:rPr>
                  <w:rStyle w:val="Hyperlink"/>
                  <w:rFonts w:asciiTheme="majorHAnsi" w:hAnsiTheme="majorHAnsi" w:cstheme="majorHAnsi"/>
                  <w:b w:val="0"/>
                  <w:sz w:val="19"/>
                  <w:szCs w:val="19"/>
                </w:rPr>
                <w:t>Indigenous Eye Health calculator</w:t>
              </w:r>
            </w:hyperlink>
            <w:r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]</w:t>
            </w:r>
            <w:hyperlink r:id="rId9" w:history="1"/>
          </w:p>
        </w:tc>
        <w:tc>
          <w:tcPr>
            <w:tcW w:w="778" w:type="pct"/>
            <w:shd w:val="clear" w:color="auto" w:fill="DBE5F1" w:themeFill="accent1" w:themeFillTint="33"/>
          </w:tcPr>
          <w:p w14:paraId="32EE5D66" w14:textId="77777777" w:rsidR="00A45AF3" w:rsidRDefault="001D3AD0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17365D" w:themeColor="text2" w:themeShade="BF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7365D" w:themeColor="text2" w:themeShade="BF"/>
                <w:sz w:val="19"/>
                <w:szCs w:val="19"/>
              </w:rPr>
              <w:t>Gap</w:t>
            </w:r>
          </w:p>
          <w:p w14:paraId="62DC41E7" w14:textId="69B3D48F" w:rsidR="001D3AD0" w:rsidRPr="00C30BAD" w:rsidRDefault="001D3AD0" w:rsidP="001D3AD0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9"/>
                <w:szCs w:val="19"/>
              </w:rPr>
            </w:pPr>
            <w:r w:rsidRPr="00C30BAD">
              <w:rPr>
                <w:rFonts w:asciiTheme="majorHAnsi" w:hAnsiTheme="majorHAnsi" w:cstheme="majorHAnsi"/>
                <w:b w:val="0"/>
                <w:color w:val="808080" w:themeColor="background1" w:themeShade="80"/>
                <w:sz w:val="19"/>
                <w:szCs w:val="19"/>
              </w:rPr>
              <w:t>[unmet need]</w:t>
            </w:r>
          </w:p>
        </w:tc>
      </w:tr>
      <w:tr w:rsidR="00C30BAD" w:rsidRPr="00657FF0" w14:paraId="35B18EF3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78C3238F" w14:textId="26F79196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Eye Examinations total</w:t>
            </w:r>
          </w:p>
        </w:tc>
        <w:tc>
          <w:tcPr>
            <w:tcW w:w="1336" w:type="pct"/>
          </w:tcPr>
          <w:p w14:paraId="4308A2E2" w14:textId="02BE4CAB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The number of Indigenous patients who had an eye examination</w:t>
            </w:r>
          </w:p>
        </w:tc>
        <w:tc>
          <w:tcPr>
            <w:tcW w:w="778" w:type="pct"/>
          </w:tcPr>
          <w:p w14:paraId="713818C9" w14:textId="1B2CFF56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4638AC53" w14:textId="181C94D0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101BD055" w14:textId="353A59A1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18D16F8F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31D1B918" w14:textId="77777777" w:rsidTr="00C30BAD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152EBD85" w14:textId="2918B349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Diabetes patients with annual eye exam</w:t>
            </w:r>
          </w:p>
        </w:tc>
        <w:tc>
          <w:tcPr>
            <w:tcW w:w="1336" w:type="pct"/>
          </w:tcPr>
          <w:p w14:paraId="4AE82E62" w14:textId="1A2954E3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The number of Indigenous patients with diabetes who had an eye examination for diabetic retinopathy</w:t>
            </w:r>
          </w:p>
        </w:tc>
        <w:tc>
          <w:tcPr>
            <w:tcW w:w="778" w:type="pct"/>
          </w:tcPr>
          <w:p w14:paraId="6E9A2D66" w14:textId="489369DA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0E19C64" w14:textId="74F9D831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725712FD" w14:textId="1A8D4FDB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749B5D7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65B3D109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20931983" w14:textId="4935D0A2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715 Aboriginal Health Assessments - patients over 15 </w:t>
            </w:r>
            <w:proofErr w:type="spellStart"/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yrs</w:t>
            </w:r>
            <w:proofErr w:type="spellEnd"/>
            <w:r w:rsidRPr="00A45AF3">
              <w:rPr>
                <w:rStyle w:val="FootnoteReference"/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footnoteReference w:id="1"/>
            </w:r>
          </w:p>
        </w:tc>
        <w:tc>
          <w:tcPr>
            <w:tcW w:w="1336" w:type="pct"/>
          </w:tcPr>
          <w:p w14:paraId="198DE301" w14:textId="1D92039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The </w:t>
            </w:r>
            <w:r w:rsidR="00C1629C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%</w:t>
            </w: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of Indigenous patients aged </w:t>
            </w: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sym w:font="Symbol" w:char="F0B3"/>
            </w: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15 years who have had an annual health check under MBS Health Assessment Item 715</w:t>
            </w:r>
          </w:p>
        </w:tc>
        <w:tc>
          <w:tcPr>
            <w:tcW w:w="778" w:type="pct"/>
          </w:tcPr>
          <w:p w14:paraId="2BEACC3B" w14:textId="5A50B5B9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3489AAC3" w14:textId="6B4BC64C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2FBF446D" w14:textId="3A3D3A48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35465190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5764FE39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16CE9242" w14:textId="2E6E4820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Cataract surgeries</w:t>
            </w:r>
          </w:p>
          <w:p w14:paraId="0DCDAFFE" w14:textId="77777777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</w:p>
        </w:tc>
        <w:tc>
          <w:tcPr>
            <w:tcW w:w="1336" w:type="pct"/>
          </w:tcPr>
          <w:p w14:paraId="09B5041C" w14:textId="3F842956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The number of cataract surgeries performed (by Indigenous status)</w:t>
            </w:r>
          </w:p>
        </w:tc>
        <w:tc>
          <w:tcPr>
            <w:tcW w:w="778" w:type="pct"/>
          </w:tcPr>
          <w:p w14:paraId="476333BE" w14:textId="7F48E595" w:rsidR="001D3AD0" w:rsidRPr="00A45AF3" w:rsidRDefault="001D3AD0" w:rsidP="00B65BFB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6E978132" w14:textId="797AE059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6F8DFFFC" w14:textId="59F1BF0F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41A7A4AB" w14:textId="77777777" w:rsidR="001D3AD0" w:rsidRPr="00A45AF3" w:rsidRDefault="001D3AD0" w:rsidP="00A45AF3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1D479A73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5336E6D3" w14:textId="5EF81632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Cataract Surgery Wait</w:t>
            </w:r>
          </w:p>
        </w:tc>
        <w:tc>
          <w:tcPr>
            <w:tcW w:w="1336" w:type="pct"/>
          </w:tcPr>
          <w:p w14:paraId="33B6ABD2" w14:textId="60411F5C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The </w:t>
            </w:r>
            <w:r w:rsidR="00C1629C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%</w:t>
            </w: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of Indigenous patients who had cataract surgery who received surgery within 90 days of booking (compared to other patients)</w:t>
            </w:r>
          </w:p>
        </w:tc>
        <w:tc>
          <w:tcPr>
            <w:tcW w:w="778" w:type="pct"/>
          </w:tcPr>
          <w:p w14:paraId="0B7BA766" w14:textId="655858C4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65C06CF4" w14:textId="119EC225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2AD62BD" w14:textId="45443C0C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sz w:val="19"/>
                <w:szCs w:val="19"/>
              </w:rPr>
              <w:t>To match non-Aboriginal rate of 90 days</w:t>
            </w:r>
          </w:p>
        </w:tc>
        <w:tc>
          <w:tcPr>
            <w:tcW w:w="778" w:type="pct"/>
          </w:tcPr>
          <w:p w14:paraId="488479F5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19EABED4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700319BF" w14:textId="1E2880C1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Diabetic Retinopathy Treatment</w:t>
            </w:r>
          </w:p>
        </w:tc>
        <w:tc>
          <w:tcPr>
            <w:tcW w:w="1336" w:type="pct"/>
          </w:tcPr>
          <w:p w14:paraId="16BB81ED" w14:textId="25134B5E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The number of laser procedures or intravitreal injections performed for diabetic retinopathy for patients with diabetes (by Indigenous status)</w:t>
            </w:r>
          </w:p>
        </w:tc>
        <w:tc>
          <w:tcPr>
            <w:tcW w:w="778" w:type="pct"/>
          </w:tcPr>
          <w:p w14:paraId="394B2FFD" w14:textId="760A05B7" w:rsidR="001D3AD0" w:rsidRPr="00A45AF3" w:rsidRDefault="001D3AD0" w:rsidP="00B65BFB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5A09E992" w14:textId="6D24753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27324909" w14:textId="2A3B99A9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630A36F2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05220635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7F0569EC" w14:textId="44F7FE26" w:rsidR="001D3AD0" w:rsidRPr="00A45AF3" w:rsidRDefault="00F13DF6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Visiting Optometrists </w:t>
            </w:r>
            <w:r w:rsidR="001D3AD0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Scheme</w:t>
            </w: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(VOS)</w:t>
            </w:r>
            <w:r w:rsidR="001D3AD0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/ Optometry Days</w:t>
            </w:r>
          </w:p>
        </w:tc>
        <w:tc>
          <w:tcPr>
            <w:tcW w:w="1336" w:type="pct"/>
          </w:tcPr>
          <w:p w14:paraId="2E835342" w14:textId="2672E7E0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The numb</w:t>
            </w:r>
            <w:r w:rsidR="006240A0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er of days of Visiting Optometrists</w:t>
            </w: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Scheme (VOS) optometry service provided to your community</w:t>
            </w:r>
          </w:p>
        </w:tc>
        <w:tc>
          <w:tcPr>
            <w:tcW w:w="778" w:type="pct"/>
          </w:tcPr>
          <w:p w14:paraId="3AE4BC78" w14:textId="095239E3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78492B80" w14:textId="7E8A90A1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682A5E51" w14:textId="4B82C1DC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5BB335C1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430906F4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21FA038C" w14:textId="57CE6A48" w:rsidR="001D3AD0" w:rsidRPr="00A45AF3" w:rsidRDefault="001D3AD0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Ophthalmology Days</w:t>
            </w:r>
          </w:p>
        </w:tc>
        <w:tc>
          <w:tcPr>
            <w:tcW w:w="1336" w:type="pct"/>
          </w:tcPr>
          <w:p w14:paraId="3726BB73" w14:textId="1AE03FC4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The number of Rural Health Outreach Fund (RHOF) ophthalmology services provided to your community</w:t>
            </w:r>
          </w:p>
        </w:tc>
        <w:tc>
          <w:tcPr>
            <w:tcW w:w="778" w:type="pct"/>
          </w:tcPr>
          <w:p w14:paraId="781FBE35" w14:textId="32837569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493A146A" w14:textId="12455F0D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FC07488" w14:textId="7253EA1D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6184E9C5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C30BAD" w:rsidRPr="00657FF0" w14:paraId="2DCC63B3" w14:textId="77777777" w:rsidTr="00C30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</w:tcPr>
          <w:p w14:paraId="171BDAD1" w14:textId="6B5202D7" w:rsidR="001D3AD0" w:rsidRPr="00A45AF3" w:rsidRDefault="00C1629C" w:rsidP="001D3AD0">
            <w:pPr>
              <w:spacing w:before="4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Subsidized Spectacles</w:t>
            </w:r>
            <w:r w:rsidR="001D3AD0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&gt;40 years</w:t>
            </w:r>
          </w:p>
        </w:tc>
        <w:tc>
          <w:tcPr>
            <w:tcW w:w="1336" w:type="pct"/>
          </w:tcPr>
          <w:p w14:paraId="568B345D" w14:textId="15C77B86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</w:pPr>
            <w:r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The number of subsidised spectacles provided to Indigenous patients through </w:t>
            </w:r>
            <w:r w:rsidR="00C1629C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the Subsidized </w:t>
            </w:r>
            <w:proofErr w:type="spellStart"/>
            <w:r w:rsidR="00C1629C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>Spectacel</w:t>
            </w:r>
            <w:proofErr w:type="spellEnd"/>
            <w:r w:rsidR="00C1629C" w:rsidRPr="00A45AF3">
              <w:rPr>
                <w:rFonts w:asciiTheme="majorHAnsi" w:hAnsiTheme="majorHAnsi" w:cstheme="majorHAnsi"/>
                <w:color w:val="1F497D" w:themeColor="text2"/>
                <w:sz w:val="19"/>
                <w:szCs w:val="19"/>
              </w:rPr>
              <w:t xml:space="preserve"> Scheme</w:t>
            </w:r>
          </w:p>
        </w:tc>
        <w:tc>
          <w:tcPr>
            <w:tcW w:w="778" w:type="pct"/>
          </w:tcPr>
          <w:p w14:paraId="5DD35A26" w14:textId="668E3215" w:rsidR="001D3AD0" w:rsidRPr="00A45AF3" w:rsidRDefault="001D3AD0" w:rsidP="00B65BFB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3C1C8A8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E127BA8" w14:textId="77ED88ED" w:rsidR="001D3AD0" w:rsidRPr="00A45AF3" w:rsidRDefault="001D3AD0" w:rsidP="00F3731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778" w:type="pct"/>
          </w:tcPr>
          <w:p w14:paraId="0EECCEF6" w14:textId="77777777" w:rsidR="001D3AD0" w:rsidRPr="00A45AF3" w:rsidRDefault="001D3AD0" w:rsidP="001D3AD0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</w:tbl>
    <w:p w14:paraId="11EDC531" w14:textId="77777777" w:rsidR="003D2487" w:rsidRPr="00657FF0" w:rsidRDefault="003D2487" w:rsidP="00136E64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3D2487" w:rsidRPr="00657FF0" w:rsidSect="003D2487">
      <w:headerReference w:type="default" r:id="rId10"/>
      <w:pgSz w:w="16840" w:h="11900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4E81" w14:textId="77777777" w:rsidR="00870425" w:rsidRDefault="00870425" w:rsidP="00EC73F0">
      <w:r>
        <w:separator/>
      </w:r>
    </w:p>
  </w:endnote>
  <w:endnote w:type="continuationSeparator" w:id="0">
    <w:p w14:paraId="6245534B" w14:textId="77777777" w:rsidR="00870425" w:rsidRDefault="00870425" w:rsidP="00E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CD50" w14:textId="77777777" w:rsidR="00870425" w:rsidRDefault="00870425" w:rsidP="00EC73F0">
      <w:r>
        <w:separator/>
      </w:r>
    </w:p>
  </w:footnote>
  <w:footnote w:type="continuationSeparator" w:id="0">
    <w:p w14:paraId="7FC8EFC7" w14:textId="77777777" w:rsidR="00870425" w:rsidRDefault="00870425" w:rsidP="00EC73F0">
      <w:r>
        <w:continuationSeparator/>
      </w:r>
    </w:p>
  </w:footnote>
  <w:footnote w:id="1">
    <w:p w14:paraId="6842BBE3" w14:textId="05108AED" w:rsidR="001D3AD0" w:rsidRPr="00A45AF3" w:rsidRDefault="001D3AD0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A45AF3">
        <w:rPr>
          <w:rStyle w:val="FootnoteReference"/>
          <w:rFonts w:asciiTheme="majorHAnsi" w:hAnsiTheme="majorHAnsi" w:cstheme="majorHAnsi"/>
        </w:rPr>
        <w:footnoteRef/>
      </w:r>
      <w:r w:rsidRPr="00A45AF3">
        <w:rPr>
          <w:rFonts w:asciiTheme="majorHAnsi" w:hAnsiTheme="majorHAnsi" w:cstheme="majorHAnsi"/>
        </w:rPr>
        <w:t xml:space="preserve"> </w:t>
      </w:r>
      <w:r w:rsidRPr="00A45AF3">
        <w:rPr>
          <w:rFonts w:asciiTheme="majorHAnsi" w:hAnsiTheme="majorHAnsi" w:cstheme="majorHAnsi"/>
          <w:sz w:val="18"/>
          <w:szCs w:val="18"/>
        </w:rPr>
        <w:t>Note that Medicare Benefits Schedule (MBS) data is available publicly at SA3 area but does not include age cohorts. Age breakdown only available at jurisdictional level</w:t>
      </w:r>
      <w:r w:rsidR="00A45AF3" w:rsidRPr="00A45AF3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ECE7" w14:textId="599F219B" w:rsidR="003D2487" w:rsidRDefault="003D2487" w:rsidP="003D2487">
    <w:pPr>
      <w:pStyle w:val="Header"/>
      <w:ind w:left="-709" w:right="-476"/>
    </w:pPr>
    <w:r>
      <w:rPr>
        <w:noProof/>
      </w:rPr>
      <w:drawing>
        <wp:inline distT="0" distB="0" distL="0" distR="0" wp14:anchorId="09262A94" wp14:editId="4A870467">
          <wp:extent cx="11212186" cy="45722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lbUni_Dots_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2884" cy="50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0FCA1" w14:textId="77777777" w:rsidR="003D2487" w:rsidRDefault="003D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40D"/>
    <w:multiLevelType w:val="hybridMultilevel"/>
    <w:tmpl w:val="DCEA935A"/>
    <w:lvl w:ilvl="0" w:tplc="79C61C08">
      <w:start w:val="10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2E"/>
    <w:rsid w:val="00046F1E"/>
    <w:rsid w:val="00052CE9"/>
    <w:rsid w:val="00092F6A"/>
    <w:rsid w:val="00105F64"/>
    <w:rsid w:val="00112F64"/>
    <w:rsid w:val="00136E64"/>
    <w:rsid w:val="00144D54"/>
    <w:rsid w:val="001761F3"/>
    <w:rsid w:val="00193635"/>
    <w:rsid w:val="001C3F54"/>
    <w:rsid w:val="001D3AD0"/>
    <w:rsid w:val="001E5B3E"/>
    <w:rsid w:val="00206089"/>
    <w:rsid w:val="0020680B"/>
    <w:rsid w:val="00210797"/>
    <w:rsid w:val="00240077"/>
    <w:rsid w:val="002449D2"/>
    <w:rsid w:val="002522BC"/>
    <w:rsid w:val="00275E64"/>
    <w:rsid w:val="00280627"/>
    <w:rsid w:val="002A76E5"/>
    <w:rsid w:val="002C4F52"/>
    <w:rsid w:val="00307648"/>
    <w:rsid w:val="003606EB"/>
    <w:rsid w:val="00370E3E"/>
    <w:rsid w:val="00372B95"/>
    <w:rsid w:val="00376B26"/>
    <w:rsid w:val="003A05DF"/>
    <w:rsid w:val="003A3054"/>
    <w:rsid w:val="003D2487"/>
    <w:rsid w:val="00407B0B"/>
    <w:rsid w:val="004241F6"/>
    <w:rsid w:val="0043485D"/>
    <w:rsid w:val="004560FF"/>
    <w:rsid w:val="004D1857"/>
    <w:rsid w:val="00501881"/>
    <w:rsid w:val="00531B40"/>
    <w:rsid w:val="0054071F"/>
    <w:rsid w:val="00551CA0"/>
    <w:rsid w:val="005617FD"/>
    <w:rsid w:val="00563591"/>
    <w:rsid w:val="005849F6"/>
    <w:rsid w:val="005C4BB5"/>
    <w:rsid w:val="005C4DEB"/>
    <w:rsid w:val="005F2EAF"/>
    <w:rsid w:val="005F602B"/>
    <w:rsid w:val="006015E1"/>
    <w:rsid w:val="0060742E"/>
    <w:rsid w:val="006240A0"/>
    <w:rsid w:val="00657FF0"/>
    <w:rsid w:val="007378CD"/>
    <w:rsid w:val="00742746"/>
    <w:rsid w:val="00742CB4"/>
    <w:rsid w:val="0075267F"/>
    <w:rsid w:val="007A41AA"/>
    <w:rsid w:val="007D723D"/>
    <w:rsid w:val="00821427"/>
    <w:rsid w:val="00854551"/>
    <w:rsid w:val="00870425"/>
    <w:rsid w:val="008A4A03"/>
    <w:rsid w:val="008D14D0"/>
    <w:rsid w:val="009750D0"/>
    <w:rsid w:val="009C23C2"/>
    <w:rsid w:val="009D176C"/>
    <w:rsid w:val="009E036A"/>
    <w:rsid w:val="009E0B16"/>
    <w:rsid w:val="009E3CB7"/>
    <w:rsid w:val="009E7150"/>
    <w:rsid w:val="00A420F3"/>
    <w:rsid w:val="00A45AF3"/>
    <w:rsid w:val="00A773D7"/>
    <w:rsid w:val="00AA0EAC"/>
    <w:rsid w:val="00AE34AC"/>
    <w:rsid w:val="00B65BFB"/>
    <w:rsid w:val="00BE4A19"/>
    <w:rsid w:val="00C02474"/>
    <w:rsid w:val="00C14BA3"/>
    <w:rsid w:val="00C1629C"/>
    <w:rsid w:val="00C24999"/>
    <w:rsid w:val="00C30BAD"/>
    <w:rsid w:val="00C829BA"/>
    <w:rsid w:val="00CC53F7"/>
    <w:rsid w:val="00D228AB"/>
    <w:rsid w:val="00DC348F"/>
    <w:rsid w:val="00DD4F07"/>
    <w:rsid w:val="00EB3483"/>
    <w:rsid w:val="00EB590F"/>
    <w:rsid w:val="00EB6965"/>
    <w:rsid w:val="00EC73F0"/>
    <w:rsid w:val="00ED3B2E"/>
    <w:rsid w:val="00EE7CCF"/>
    <w:rsid w:val="00EF10C2"/>
    <w:rsid w:val="00F13DF6"/>
    <w:rsid w:val="00F3731A"/>
    <w:rsid w:val="00FF745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6D0E7"/>
  <w14:defaultImageDpi w14:val="300"/>
  <w15:docId w15:val="{BEB81E85-54D5-2F42-9D07-8C6F732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74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0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73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73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1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87"/>
  </w:style>
  <w:style w:type="paragraph" w:styleId="Footer">
    <w:name w:val="footer"/>
    <w:basedOn w:val="Normal"/>
    <w:link w:val="FooterChar"/>
    <w:uiPriority w:val="99"/>
    <w:unhideWhenUsed/>
    <w:rsid w:val="003D2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87"/>
  </w:style>
  <w:style w:type="table" w:styleId="GridTable1Light-Accent1">
    <w:name w:val="Grid Table 1 Light Accent 1"/>
    <w:basedOn w:val="TableNormal"/>
    <w:uiPriority w:val="46"/>
    <w:rsid w:val="00046F1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30BA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C30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C30B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-grading.iehu.unimelb.edu.au/ecw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r-grading.iehu.unimelb.edu.au/ecw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439DC8-D090-2E49-A312-99C4904B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Ferguson</cp:lastModifiedBy>
  <cp:revision>3</cp:revision>
  <cp:lastPrinted>2018-02-27T06:08:00Z</cp:lastPrinted>
  <dcterms:created xsi:type="dcterms:W3CDTF">2019-01-10T02:44:00Z</dcterms:created>
  <dcterms:modified xsi:type="dcterms:W3CDTF">2019-01-10T02:47:00Z</dcterms:modified>
</cp:coreProperties>
</file>